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66480" w14:textId="77777777" w:rsidR="00DA2024" w:rsidRDefault="00DA2024" w:rsidP="00DA2024">
      <w:pPr>
        <w:spacing w:after="0" w:line="240" w:lineRule="auto"/>
        <w:jc w:val="center"/>
        <w:rPr>
          <w:b/>
          <w:bCs/>
        </w:rPr>
      </w:pPr>
      <w:r>
        <w:rPr>
          <w:b/>
        </w:rPr>
        <w:t>Canadice Lake Technologies, Inc.</w:t>
      </w:r>
      <w:r>
        <w:rPr>
          <w:rStyle w:val="FootnoteReference"/>
          <w:b/>
        </w:rPr>
        <w:footnoteReference w:id="1"/>
      </w:r>
    </w:p>
    <w:p w14:paraId="3DCA2D22" w14:textId="5D9BE74E" w:rsidR="00DA2024" w:rsidRDefault="00DA2024" w:rsidP="00DA2024">
      <w:pPr>
        <w:spacing w:after="0" w:line="240" w:lineRule="auto"/>
        <w:jc w:val="center"/>
        <w:rPr>
          <w:b/>
          <w:bCs/>
        </w:rPr>
      </w:pPr>
      <w:r>
        <w:rPr>
          <w:b/>
          <w:bCs/>
        </w:rPr>
        <w:t>Problem Set</w:t>
      </w:r>
      <w:r w:rsidR="00154312">
        <w:rPr>
          <w:b/>
          <w:bCs/>
        </w:rPr>
        <w:t xml:space="preserve"> – </w:t>
      </w:r>
      <w:r w:rsidR="00ED13E6">
        <w:rPr>
          <w:b/>
        </w:rPr>
        <w:t>EBITDA, SDE and Free Cash Flow</w:t>
      </w:r>
      <w:r w:rsidR="00ED13E6">
        <w:rPr>
          <w:rStyle w:val="FootnoteReference"/>
          <w:b/>
        </w:rPr>
        <w:t xml:space="preserve"> </w:t>
      </w:r>
      <w:r>
        <w:rPr>
          <w:rStyle w:val="FootnoteReference"/>
          <w:b/>
        </w:rPr>
        <w:footnoteReference w:id="2"/>
      </w:r>
    </w:p>
    <w:p w14:paraId="103258C1" w14:textId="77777777" w:rsidR="007A7B99" w:rsidRDefault="007A7B99"/>
    <w:p w14:paraId="24A14D86" w14:textId="4180E3CF" w:rsidR="00FB3D10" w:rsidRDefault="003E3134">
      <w:r>
        <w:t xml:space="preserve">The following questions </w:t>
      </w:r>
      <w:r w:rsidR="00180E99">
        <w:t xml:space="preserve">may be answered through </w:t>
      </w:r>
      <w:r w:rsidR="00ED13E6">
        <w:t>the</w:t>
      </w:r>
      <w:r w:rsidR="00180E99">
        <w:t xml:space="preserve"> </w:t>
      </w:r>
      <w:hyperlink r:id="rId10" w:history="1">
        <w:r w:rsidR="00180E99" w:rsidRPr="00180E99">
          <w:rPr>
            <w:rStyle w:val="Hyperlink"/>
          </w:rPr>
          <w:t>Sample Cash Flow Model</w:t>
        </w:r>
      </w:hyperlink>
      <w:r w:rsidR="00180E99">
        <w:t xml:space="preserve"> </w:t>
      </w:r>
      <w:r w:rsidR="00ED13E6">
        <w:t xml:space="preserve">utilizing data </w:t>
      </w:r>
      <w:r w:rsidR="00180E99">
        <w:t xml:space="preserve">provided for </w:t>
      </w:r>
      <w:hyperlink r:id="rId11" w:history="1">
        <w:r w:rsidR="00180E99" w:rsidRPr="00180E99">
          <w:rPr>
            <w:rStyle w:val="Hyperlink"/>
          </w:rPr>
          <w:t>Canadice Lake Technologie</w:t>
        </w:r>
        <w:r w:rsidR="00180E99">
          <w:rPr>
            <w:rStyle w:val="Hyperlink"/>
          </w:rPr>
          <w:t>s – Narrative &amp; Financials</w:t>
        </w:r>
      </w:hyperlink>
      <w:r w:rsidR="00ED13E6">
        <w:t xml:space="preserve"> after making operating income adjustments based on information included in the narrative.</w:t>
      </w:r>
      <w:bookmarkStart w:id="0" w:name="_GoBack"/>
      <w:bookmarkEnd w:id="0"/>
      <w:r w:rsidR="00ED13E6">
        <w:t xml:space="preserve"> </w:t>
      </w:r>
      <w:r w:rsidR="00180E99">
        <w:t xml:space="preserve">  </w:t>
      </w:r>
    </w:p>
    <w:p w14:paraId="352CA18F" w14:textId="77777777" w:rsidR="00DA2024" w:rsidRDefault="00DA2024" w:rsidP="00DA2024"/>
    <w:p w14:paraId="3217433C" w14:textId="09C8C5EA" w:rsidR="004327CB" w:rsidRDefault="00180E99" w:rsidP="00DA2024">
      <w:pPr>
        <w:rPr>
          <w:b/>
        </w:rPr>
      </w:pPr>
      <w:r>
        <w:rPr>
          <w:b/>
        </w:rPr>
        <w:t>Forecasting EBITDA, SDE and Free Cash Flow</w:t>
      </w:r>
    </w:p>
    <w:p w14:paraId="02DCC4CF" w14:textId="7B312262" w:rsidR="00CA4140" w:rsidRPr="00CA4140" w:rsidRDefault="00180E99" w:rsidP="00180E99">
      <w:pPr>
        <w:pStyle w:val="ListParagraph"/>
        <w:numPr>
          <w:ilvl w:val="0"/>
          <w:numId w:val="2"/>
        </w:numPr>
        <w:rPr>
          <w:b/>
        </w:rPr>
      </w:pPr>
      <w:r>
        <w:rPr>
          <w:b/>
        </w:rPr>
        <w:t xml:space="preserve">The </w:t>
      </w:r>
      <w:hyperlink r:id="rId12" w:history="1">
        <w:r w:rsidRPr="00180E99">
          <w:rPr>
            <w:rStyle w:val="Hyperlink"/>
            <w:b/>
          </w:rPr>
          <w:t>Canadice Lake Technologies – Narrative &amp; Financials</w:t>
        </w:r>
      </w:hyperlink>
      <w:r>
        <w:rPr>
          <w:b/>
        </w:rPr>
        <w:t xml:space="preserve"> offers a rich body of information relative to the firm’s current (2021) and historic cash flows.  Given the information provided, calculate and present the following cash flow elements for the firm as of the end of 2021 including any reasonable adjustments motivated by extraneous information included in the case narrative</w:t>
      </w:r>
    </w:p>
    <w:p w14:paraId="240BF53D" w14:textId="2F2CA8E2" w:rsidR="00180E99" w:rsidRDefault="00180E99" w:rsidP="00AD3359">
      <w:pPr>
        <w:pStyle w:val="ListParagraph"/>
        <w:numPr>
          <w:ilvl w:val="1"/>
          <w:numId w:val="2"/>
        </w:numPr>
        <w:rPr>
          <w:b/>
        </w:rPr>
      </w:pPr>
      <w:r>
        <w:rPr>
          <w:b/>
        </w:rPr>
        <w:t>Operating Income – Earnings Before Interest &amp; Tax (EBIT)</w:t>
      </w:r>
    </w:p>
    <w:p w14:paraId="54A9B70A" w14:textId="677DAEF2" w:rsidR="00180E99" w:rsidRDefault="00180E99" w:rsidP="00AD3359">
      <w:pPr>
        <w:pStyle w:val="ListParagraph"/>
        <w:numPr>
          <w:ilvl w:val="1"/>
          <w:numId w:val="2"/>
        </w:numPr>
        <w:rPr>
          <w:b/>
        </w:rPr>
      </w:pPr>
      <w:r>
        <w:rPr>
          <w:b/>
        </w:rPr>
        <w:t>Earnings Before Interest, Tax, Depreciation and Amortization (EBITDA)</w:t>
      </w:r>
    </w:p>
    <w:p w14:paraId="699F3418" w14:textId="264499E9" w:rsidR="00180E99" w:rsidRDefault="00180E99" w:rsidP="00AD3359">
      <w:pPr>
        <w:pStyle w:val="ListParagraph"/>
        <w:numPr>
          <w:ilvl w:val="1"/>
          <w:numId w:val="2"/>
        </w:numPr>
        <w:rPr>
          <w:b/>
        </w:rPr>
      </w:pPr>
      <w:r>
        <w:rPr>
          <w:b/>
        </w:rPr>
        <w:t>Seller’s Discretionary Earnings (SDE)</w:t>
      </w:r>
    </w:p>
    <w:p w14:paraId="2EBB0589" w14:textId="30D13705" w:rsidR="00180E99" w:rsidRDefault="00180E99" w:rsidP="00AD3359">
      <w:pPr>
        <w:pStyle w:val="ListParagraph"/>
        <w:numPr>
          <w:ilvl w:val="1"/>
          <w:numId w:val="2"/>
        </w:numPr>
        <w:rPr>
          <w:b/>
        </w:rPr>
      </w:pPr>
      <w:r>
        <w:rPr>
          <w:b/>
        </w:rPr>
        <w:t>Free Cash Flow (FCF)</w:t>
      </w:r>
    </w:p>
    <w:p w14:paraId="24B25791" w14:textId="0F624EB3" w:rsidR="00AD3359" w:rsidRDefault="00AD3359" w:rsidP="00CA4140">
      <w:pPr>
        <w:pStyle w:val="ListParagraph"/>
        <w:numPr>
          <w:ilvl w:val="0"/>
          <w:numId w:val="2"/>
        </w:numPr>
        <w:rPr>
          <w:b/>
        </w:rPr>
      </w:pPr>
      <w:r>
        <w:rPr>
          <w:b/>
        </w:rPr>
        <w:t>Estimate and present the following values for the firm based on expected performance conditions for 2022, 2023, 2025 and 2025</w:t>
      </w:r>
    </w:p>
    <w:p w14:paraId="5BE73D3D" w14:textId="5CDA1CA4" w:rsidR="00AD3359" w:rsidRDefault="00AD3359" w:rsidP="00AD3359">
      <w:pPr>
        <w:pStyle w:val="ListParagraph"/>
        <w:numPr>
          <w:ilvl w:val="1"/>
          <w:numId w:val="2"/>
        </w:numPr>
        <w:rPr>
          <w:b/>
        </w:rPr>
      </w:pPr>
      <w:r>
        <w:rPr>
          <w:b/>
        </w:rPr>
        <w:t>Revenues</w:t>
      </w:r>
    </w:p>
    <w:p w14:paraId="563FC680" w14:textId="43C44D66" w:rsidR="00AD3359" w:rsidRDefault="00AD3359" w:rsidP="00AD3359">
      <w:pPr>
        <w:pStyle w:val="ListParagraph"/>
        <w:numPr>
          <w:ilvl w:val="1"/>
          <w:numId w:val="2"/>
        </w:numPr>
        <w:rPr>
          <w:b/>
        </w:rPr>
      </w:pPr>
      <w:r>
        <w:rPr>
          <w:b/>
        </w:rPr>
        <w:t xml:space="preserve">Gross Profit </w:t>
      </w:r>
    </w:p>
    <w:p w14:paraId="33D1083F" w14:textId="15042AB6" w:rsidR="00AD3359" w:rsidRDefault="00AD3359" w:rsidP="00AD3359">
      <w:pPr>
        <w:pStyle w:val="ListParagraph"/>
        <w:numPr>
          <w:ilvl w:val="1"/>
          <w:numId w:val="2"/>
        </w:numPr>
        <w:rPr>
          <w:b/>
        </w:rPr>
      </w:pPr>
      <w:r>
        <w:rPr>
          <w:b/>
        </w:rPr>
        <w:t>Operating Income – Earnings Before Interest &amp; Tax (EBIT)</w:t>
      </w:r>
    </w:p>
    <w:p w14:paraId="75362D67" w14:textId="77777777" w:rsidR="00AD3359" w:rsidRDefault="00AD3359" w:rsidP="00AD3359">
      <w:pPr>
        <w:pStyle w:val="ListParagraph"/>
        <w:numPr>
          <w:ilvl w:val="1"/>
          <w:numId w:val="2"/>
        </w:numPr>
        <w:rPr>
          <w:b/>
        </w:rPr>
      </w:pPr>
      <w:r>
        <w:rPr>
          <w:b/>
        </w:rPr>
        <w:t>Earnings Before Interest, Tax, Depreciation and Amortization (EBITDA)</w:t>
      </w:r>
    </w:p>
    <w:p w14:paraId="3A78C46D" w14:textId="77777777" w:rsidR="00AD3359" w:rsidRDefault="00AD3359" w:rsidP="00AD3359">
      <w:pPr>
        <w:pStyle w:val="ListParagraph"/>
        <w:numPr>
          <w:ilvl w:val="1"/>
          <w:numId w:val="2"/>
        </w:numPr>
        <w:rPr>
          <w:b/>
        </w:rPr>
      </w:pPr>
      <w:r>
        <w:rPr>
          <w:b/>
        </w:rPr>
        <w:t>Seller’s Discretionary Earnings (SDE)</w:t>
      </w:r>
    </w:p>
    <w:p w14:paraId="461454C0" w14:textId="77777777" w:rsidR="00AD3359" w:rsidRDefault="00AD3359" w:rsidP="00AD3359">
      <w:pPr>
        <w:pStyle w:val="ListParagraph"/>
        <w:numPr>
          <w:ilvl w:val="1"/>
          <w:numId w:val="2"/>
        </w:numPr>
        <w:rPr>
          <w:b/>
        </w:rPr>
      </w:pPr>
      <w:r>
        <w:rPr>
          <w:b/>
        </w:rPr>
        <w:t>Free Cash Flow (FCF)</w:t>
      </w:r>
    </w:p>
    <w:p w14:paraId="55F3B94B" w14:textId="77777777" w:rsidR="00AD3359" w:rsidRDefault="00AD3359" w:rsidP="00CA4140">
      <w:pPr>
        <w:pStyle w:val="ListParagraph"/>
        <w:numPr>
          <w:ilvl w:val="0"/>
          <w:numId w:val="2"/>
        </w:numPr>
        <w:rPr>
          <w:b/>
        </w:rPr>
      </w:pPr>
      <w:r>
        <w:rPr>
          <w:b/>
        </w:rPr>
        <w:t>Why are the firm’s Taxable Income and Net Income not given consideration in the various valuation metrics discussed in our class to date?</w:t>
      </w:r>
    </w:p>
    <w:p w14:paraId="6CAF18F9" w14:textId="6AD6D1DB" w:rsidR="00AD3359" w:rsidRDefault="00AD3359" w:rsidP="00CA4140">
      <w:pPr>
        <w:pStyle w:val="ListParagraph"/>
        <w:numPr>
          <w:ilvl w:val="0"/>
          <w:numId w:val="2"/>
        </w:numPr>
        <w:rPr>
          <w:b/>
        </w:rPr>
      </w:pPr>
      <w:r>
        <w:rPr>
          <w:b/>
        </w:rPr>
        <w:t>The case narrative includes information that may be useful in calculating and estimating adjusted operating income (EBIT).  Why are these adjustments important to firm stakeholders when seeking a valuation estimate of the firm?</w:t>
      </w:r>
      <w:r w:rsidR="00A57EA0">
        <w:rPr>
          <w:b/>
        </w:rPr>
        <w:t xml:space="preserve">  </w:t>
      </w:r>
      <w:r w:rsidR="00A57EA0" w:rsidRPr="00A57EA0">
        <w:rPr>
          <w:bCs/>
          <w:i/>
          <w:iCs/>
        </w:rPr>
        <w:t>Offer a substantial enough answer to this to evidence you have a command of the dynamics of EBIT in the valuation estimation process.</w:t>
      </w:r>
      <w:r w:rsidR="00777834">
        <w:rPr>
          <w:bCs/>
          <w:i/>
          <w:iCs/>
        </w:rPr>
        <w:t xml:space="preserve">  </w:t>
      </w:r>
    </w:p>
    <w:sectPr w:rsidR="00AD33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1692E" w14:textId="77777777" w:rsidR="00DA2024" w:rsidRDefault="00DA2024" w:rsidP="00DA2024">
      <w:pPr>
        <w:spacing w:after="0" w:line="240" w:lineRule="auto"/>
      </w:pPr>
      <w:r>
        <w:separator/>
      </w:r>
    </w:p>
  </w:endnote>
  <w:endnote w:type="continuationSeparator" w:id="0">
    <w:p w14:paraId="6F309355" w14:textId="77777777" w:rsidR="00DA2024" w:rsidRDefault="00DA2024" w:rsidP="00DA2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07489" w14:textId="77777777" w:rsidR="00DA2024" w:rsidRDefault="00DA2024" w:rsidP="00DA2024">
      <w:pPr>
        <w:spacing w:after="0" w:line="240" w:lineRule="auto"/>
      </w:pPr>
      <w:r>
        <w:separator/>
      </w:r>
    </w:p>
  </w:footnote>
  <w:footnote w:type="continuationSeparator" w:id="0">
    <w:p w14:paraId="7DA776DE" w14:textId="77777777" w:rsidR="00DA2024" w:rsidRDefault="00DA2024" w:rsidP="00DA2024">
      <w:pPr>
        <w:spacing w:after="0" w:line="240" w:lineRule="auto"/>
      </w:pPr>
      <w:r>
        <w:continuationSeparator/>
      </w:r>
    </w:p>
  </w:footnote>
  <w:footnote w:id="1">
    <w:p w14:paraId="672A65DF" w14:textId="77777777" w:rsidR="00DA2024" w:rsidRDefault="00DA2024" w:rsidP="00DA2024">
      <w:pPr>
        <w:pStyle w:val="FootnoteText"/>
        <w:rPr>
          <w:sz w:val="16"/>
          <w:szCs w:val="16"/>
        </w:rPr>
      </w:pPr>
      <w:r>
        <w:rPr>
          <w:rStyle w:val="FootnoteReference"/>
        </w:rPr>
        <w:footnoteRef/>
      </w:r>
      <w:r>
        <w:t xml:space="preserve"> </w:t>
      </w:r>
      <w:r>
        <w:rPr>
          <w:sz w:val="16"/>
          <w:szCs w:val="16"/>
        </w:rPr>
        <w:t>This problem and solution set is intended to present an abbreviated discussion of the included finance concepts and is not intended to be a full or complete representation of them or the underlying foundations from which they are built.</w:t>
      </w:r>
    </w:p>
  </w:footnote>
  <w:footnote w:id="2">
    <w:p w14:paraId="6093165E" w14:textId="77777777" w:rsidR="00DA2024" w:rsidRPr="00546198" w:rsidRDefault="00DA2024" w:rsidP="00DA2024">
      <w:pPr>
        <w:pStyle w:val="FootnoteText"/>
        <w:rPr>
          <w:sz w:val="16"/>
          <w:szCs w:val="16"/>
        </w:rPr>
      </w:pPr>
      <w:r>
        <w:rPr>
          <w:rStyle w:val="FootnoteReference"/>
          <w:sz w:val="16"/>
          <w:szCs w:val="16"/>
        </w:rPr>
        <w:footnoteRef/>
      </w:r>
      <w:r>
        <w:rPr>
          <w:sz w:val="16"/>
          <w:szCs w:val="16"/>
        </w:rPr>
        <w:t xml:space="preserve"> This problem set was developed by Richard Haskell, PhD (rhaskell@westminstercollege.edu), Gore School of Business, Westminster College, Salt Lake City, Utah (2021) and Michael von Ballmoos (michael.vonballmoos@gmail.com)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CC636F"/>
    <w:multiLevelType w:val="hybridMultilevel"/>
    <w:tmpl w:val="C3CAD1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47F7370"/>
    <w:multiLevelType w:val="hybridMultilevel"/>
    <w:tmpl w:val="DF94AE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DA2024"/>
    <w:rsid w:val="00023BEC"/>
    <w:rsid w:val="000274A3"/>
    <w:rsid w:val="00035604"/>
    <w:rsid w:val="00050B3D"/>
    <w:rsid w:val="00052C07"/>
    <w:rsid w:val="00084FAA"/>
    <w:rsid w:val="000D474A"/>
    <w:rsid w:val="000E0F90"/>
    <w:rsid w:val="000F3428"/>
    <w:rsid w:val="00117258"/>
    <w:rsid w:val="00120E04"/>
    <w:rsid w:val="00130541"/>
    <w:rsid w:val="001516B4"/>
    <w:rsid w:val="00153AD0"/>
    <w:rsid w:val="00154312"/>
    <w:rsid w:val="00163821"/>
    <w:rsid w:val="00165E6C"/>
    <w:rsid w:val="00167D20"/>
    <w:rsid w:val="00175F39"/>
    <w:rsid w:val="00180E99"/>
    <w:rsid w:val="00183859"/>
    <w:rsid w:val="00183978"/>
    <w:rsid w:val="001927BD"/>
    <w:rsid w:val="0019331F"/>
    <w:rsid w:val="001A2708"/>
    <w:rsid w:val="001A2F9A"/>
    <w:rsid w:val="001B7F37"/>
    <w:rsid w:val="001E07AA"/>
    <w:rsid w:val="001E3653"/>
    <w:rsid w:val="001E4CAC"/>
    <w:rsid w:val="001F1510"/>
    <w:rsid w:val="001F3FA2"/>
    <w:rsid w:val="001F6184"/>
    <w:rsid w:val="0021361D"/>
    <w:rsid w:val="00215BF6"/>
    <w:rsid w:val="00223632"/>
    <w:rsid w:val="00226B65"/>
    <w:rsid w:val="00236A07"/>
    <w:rsid w:val="00240A50"/>
    <w:rsid w:val="00240F7E"/>
    <w:rsid w:val="00242EED"/>
    <w:rsid w:val="00244F28"/>
    <w:rsid w:val="002466F6"/>
    <w:rsid w:val="002506B1"/>
    <w:rsid w:val="00266713"/>
    <w:rsid w:val="0029689C"/>
    <w:rsid w:val="002A10AA"/>
    <w:rsid w:val="00304E78"/>
    <w:rsid w:val="00323A4D"/>
    <w:rsid w:val="00337B84"/>
    <w:rsid w:val="00350B7D"/>
    <w:rsid w:val="00367712"/>
    <w:rsid w:val="00370CBA"/>
    <w:rsid w:val="00372077"/>
    <w:rsid w:val="00374AAB"/>
    <w:rsid w:val="003770CF"/>
    <w:rsid w:val="00390F65"/>
    <w:rsid w:val="003960F5"/>
    <w:rsid w:val="003A1D04"/>
    <w:rsid w:val="003A45A9"/>
    <w:rsid w:val="003B01A9"/>
    <w:rsid w:val="003B370D"/>
    <w:rsid w:val="003C09E9"/>
    <w:rsid w:val="003D5382"/>
    <w:rsid w:val="003E3134"/>
    <w:rsid w:val="003E3EE2"/>
    <w:rsid w:val="00406B22"/>
    <w:rsid w:val="00413B0E"/>
    <w:rsid w:val="00414748"/>
    <w:rsid w:val="00415439"/>
    <w:rsid w:val="004317C1"/>
    <w:rsid w:val="004327CB"/>
    <w:rsid w:val="00434465"/>
    <w:rsid w:val="00434831"/>
    <w:rsid w:val="00435F89"/>
    <w:rsid w:val="004560AB"/>
    <w:rsid w:val="004619C7"/>
    <w:rsid w:val="00464E67"/>
    <w:rsid w:val="00476748"/>
    <w:rsid w:val="00494149"/>
    <w:rsid w:val="004A0454"/>
    <w:rsid w:val="004C6B9E"/>
    <w:rsid w:val="004C6F63"/>
    <w:rsid w:val="004D6E8B"/>
    <w:rsid w:val="004E0779"/>
    <w:rsid w:val="00513963"/>
    <w:rsid w:val="00514EE8"/>
    <w:rsid w:val="00537A09"/>
    <w:rsid w:val="005429A9"/>
    <w:rsid w:val="00554F3E"/>
    <w:rsid w:val="00563A69"/>
    <w:rsid w:val="0057042D"/>
    <w:rsid w:val="00571A53"/>
    <w:rsid w:val="0057227C"/>
    <w:rsid w:val="00575585"/>
    <w:rsid w:val="00580618"/>
    <w:rsid w:val="005B2BEB"/>
    <w:rsid w:val="005B39C4"/>
    <w:rsid w:val="005B70B0"/>
    <w:rsid w:val="005C77A3"/>
    <w:rsid w:val="005D4327"/>
    <w:rsid w:val="005E1F71"/>
    <w:rsid w:val="006055A9"/>
    <w:rsid w:val="006107E1"/>
    <w:rsid w:val="00610AC2"/>
    <w:rsid w:val="006140D1"/>
    <w:rsid w:val="00614CDB"/>
    <w:rsid w:val="00621C48"/>
    <w:rsid w:val="00637A5A"/>
    <w:rsid w:val="006412FE"/>
    <w:rsid w:val="00641F78"/>
    <w:rsid w:val="006603C0"/>
    <w:rsid w:val="00661DBA"/>
    <w:rsid w:val="0067604F"/>
    <w:rsid w:val="0068072D"/>
    <w:rsid w:val="006835CA"/>
    <w:rsid w:val="006B223E"/>
    <w:rsid w:val="006B3AE1"/>
    <w:rsid w:val="006C1C37"/>
    <w:rsid w:val="006E035B"/>
    <w:rsid w:val="006F0408"/>
    <w:rsid w:val="00703BF1"/>
    <w:rsid w:val="00727C82"/>
    <w:rsid w:val="00740520"/>
    <w:rsid w:val="00750C2D"/>
    <w:rsid w:val="00751B15"/>
    <w:rsid w:val="00754DA6"/>
    <w:rsid w:val="007669B3"/>
    <w:rsid w:val="00777834"/>
    <w:rsid w:val="00786F9B"/>
    <w:rsid w:val="00795E02"/>
    <w:rsid w:val="007A7B99"/>
    <w:rsid w:val="007B319D"/>
    <w:rsid w:val="007C3D93"/>
    <w:rsid w:val="007C785E"/>
    <w:rsid w:val="007D01B5"/>
    <w:rsid w:val="007D299F"/>
    <w:rsid w:val="007D2AF3"/>
    <w:rsid w:val="007E40A5"/>
    <w:rsid w:val="007F4192"/>
    <w:rsid w:val="00801938"/>
    <w:rsid w:val="0080443E"/>
    <w:rsid w:val="008071CD"/>
    <w:rsid w:val="00833F93"/>
    <w:rsid w:val="0084661A"/>
    <w:rsid w:val="008547A7"/>
    <w:rsid w:val="0087763C"/>
    <w:rsid w:val="00884460"/>
    <w:rsid w:val="008855EC"/>
    <w:rsid w:val="008903B1"/>
    <w:rsid w:val="008931CF"/>
    <w:rsid w:val="00896B7C"/>
    <w:rsid w:val="008A1F11"/>
    <w:rsid w:val="008A4D29"/>
    <w:rsid w:val="008A6ECA"/>
    <w:rsid w:val="008C1C90"/>
    <w:rsid w:val="008C3A41"/>
    <w:rsid w:val="008E1947"/>
    <w:rsid w:val="008E33E7"/>
    <w:rsid w:val="008E4F07"/>
    <w:rsid w:val="008F4D37"/>
    <w:rsid w:val="009104AA"/>
    <w:rsid w:val="00911711"/>
    <w:rsid w:val="009127A3"/>
    <w:rsid w:val="009400C7"/>
    <w:rsid w:val="009460C5"/>
    <w:rsid w:val="00963A6B"/>
    <w:rsid w:val="0096625C"/>
    <w:rsid w:val="00967DC6"/>
    <w:rsid w:val="00976684"/>
    <w:rsid w:val="00977A86"/>
    <w:rsid w:val="009B396E"/>
    <w:rsid w:val="009C336F"/>
    <w:rsid w:val="009D1DCE"/>
    <w:rsid w:val="009D5C41"/>
    <w:rsid w:val="009E3C7B"/>
    <w:rsid w:val="009F344A"/>
    <w:rsid w:val="009F6A6A"/>
    <w:rsid w:val="00A002DF"/>
    <w:rsid w:val="00A24431"/>
    <w:rsid w:val="00A306E6"/>
    <w:rsid w:val="00A3188E"/>
    <w:rsid w:val="00A3725E"/>
    <w:rsid w:val="00A43A1C"/>
    <w:rsid w:val="00A46AB8"/>
    <w:rsid w:val="00A51272"/>
    <w:rsid w:val="00A57EA0"/>
    <w:rsid w:val="00A670FC"/>
    <w:rsid w:val="00A705B6"/>
    <w:rsid w:val="00A74B00"/>
    <w:rsid w:val="00AA5702"/>
    <w:rsid w:val="00AB59FA"/>
    <w:rsid w:val="00AB676D"/>
    <w:rsid w:val="00AB7608"/>
    <w:rsid w:val="00AC0482"/>
    <w:rsid w:val="00AC7790"/>
    <w:rsid w:val="00AD0BEB"/>
    <w:rsid w:val="00AD3359"/>
    <w:rsid w:val="00AD6552"/>
    <w:rsid w:val="00AF11D2"/>
    <w:rsid w:val="00AF191F"/>
    <w:rsid w:val="00B22895"/>
    <w:rsid w:val="00B248E8"/>
    <w:rsid w:val="00B26D32"/>
    <w:rsid w:val="00B473C3"/>
    <w:rsid w:val="00B53A1B"/>
    <w:rsid w:val="00B6734D"/>
    <w:rsid w:val="00B71E09"/>
    <w:rsid w:val="00BC108C"/>
    <w:rsid w:val="00BC3392"/>
    <w:rsid w:val="00BD010A"/>
    <w:rsid w:val="00BD0163"/>
    <w:rsid w:val="00BE0AFD"/>
    <w:rsid w:val="00C16438"/>
    <w:rsid w:val="00C27AC3"/>
    <w:rsid w:val="00C430D5"/>
    <w:rsid w:val="00C51BAB"/>
    <w:rsid w:val="00C6127A"/>
    <w:rsid w:val="00C87AE3"/>
    <w:rsid w:val="00C9559B"/>
    <w:rsid w:val="00C95B6D"/>
    <w:rsid w:val="00CA07F0"/>
    <w:rsid w:val="00CA4140"/>
    <w:rsid w:val="00CA7C9B"/>
    <w:rsid w:val="00CB358F"/>
    <w:rsid w:val="00CB7A7E"/>
    <w:rsid w:val="00CD144D"/>
    <w:rsid w:val="00CE38BC"/>
    <w:rsid w:val="00CE6388"/>
    <w:rsid w:val="00D317C8"/>
    <w:rsid w:val="00D372C8"/>
    <w:rsid w:val="00D51B18"/>
    <w:rsid w:val="00D92378"/>
    <w:rsid w:val="00D96879"/>
    <w:rsid w:val="00DA2024"/>
    <w:rsid w:val="00DC0413"/>
    <w:rsid w:val="00DC0F1A"/>
    <w:rsid w:val="00E038D9"/>
    <w:rsid w:val="00E23CBB"/>
    <w:rsid w:val="00E24703"/>
    <w:rsid w:val="00E32428"/>
    <w:rsid w:val="00E32DAC"/>
    <w:rsid w:val="00E42AA8"/>
    <w:rsid w:val="00E524C2"/>
    <w:rsid w:val="00E52E38"/>
    <w:rsid w:val="00E53AAF"/>
    <w:rsid w:val="00E65514"/>
    <w:rsid w:val="00E7590E"/>
    <w:rsid w:val="00E763A3"/>
    <w:rsid w:val="00E83329"/>
    <w:rsid w:val="00E9125D"/>
    <w:rsid w:val="00E93EED"/>
    <w:rsid w:val="00EB69D3"/>
    <w:rsid w:val="00EC5147"/>
    <w:rsid w:val="00EC7694"/>
    <w:rsid w:val="00ED13E6"/>
    <w:rsid w:val="00F03B60"/>
    <w:rsid w:val="00F24185"/>
    <w:rsid w:val="00F26966"/>
    <w:rsid w:val="00F3784C"/>
    <w:rsid w:val="00F41CDF"/>
    <w:rsid w:val="00F47896"/>
    <w:rsid w:val="00F5139C"/>
    <w:rsid w:val="00F60318"/>
    <w:rsid w:val="00F743F4"/>
    <w:rsid w:val="00F779DD"/>
    <w:rsid w:val="00F80AA2"/>
    <w:rsid w:val="00F85386"/>
    <w:rsid w:val="00FB3D10"/>
    <w:rsid w:val="00FD2FF2"/>
    <w:rsid w:val="00FD3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5B762"/>
  <w15:chartTrackingRefBased/>
  <w15:docId w15:val="{72D19E75-D1AB-4576-80EF-46F11471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20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A20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2024"/>
    <w:rPr>
      <w:sz w:val="20"/>
      <w:szCs w:val="20"/>
    </w:rPr>
  </w:style>
  <w:style w:type="character" w:styleId="FootnoteReference">
    <w:name w:val="footnote reference"/>
    <w:basedOn w:val="DefaultParagraphFont"/>
    <w:uiPriority w:val="99"/>
    <w:semiHidden/>
    <w:unhideWhenUsed/>
    <w:rsid w:val="00DA2024"/>
    <w:rPr>
      <w:vertAlign w:val="superscript"/>
    </w:rPr>
  </w:style>
  <w:style w:type="paragraph" w:styleId="ListParagraph">
    <w:name w:val="List Paragraph"/>
    <w:basedOn w:val="Normal"/>
    <w:uiPriority w:val="34"/>
    <w:qFormat/>
    <w:rsid w:val="00DA2024"/>
    <w:pPr>
      <w:ind w:left="720"/>
      <w:contextualSpacing/>
    </w:pPr>
  </w:style>
  <w:style w:type="paragraph" w:styleId="BalloonText">
    <w:name w:val="Balloon Text"/>
    <w:basedOn w:val="Normal"/>
    <w:link w:val="BalloonTextChar"/>
    <w:uiPriority w:val="99"/>
    <w:semiHidden/>
    <w:unhideWhenUsed/>
    <w:rsid w:val="001543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312"/>
    <w:rPr>
      <w:rFonts w:ascii="Segoe UI" w:hAnsi="Segoe UI" w:cs="Segoe UI"/>
      <w:sz w:val="18"/>
      <w:szCs w:val="18"/>
    </w:rPr>
  </w:style>
  <w:style w:type="character" w:styleId="Hyperlink">
    <w:name w:val="Hyperlink"/>
    <w:basedOn w:val="DefaultParagraphFont"/>
    <w:uiPriority w:val="99"/>
    <w:unhideWhenUsed/>
    <w:rsid w:val="00180E99"/>
    <w:rPr>
      <w:color w:val="0563C1" w:themeColor="hyperlink"/>
      <w:u w:val="single"/>
    </w:rPr>
  </w:style>
  <w:style w:type="character" w:styleId="UnresolvedMention">
    <w:name w:val="Unresolved Mention"/>
    <w:basedOn w:val="DefaultParagraphFont"/>
    <w:uiPriority w:val="99"/>
    <w:semiHidden/>
    <w:unhideWhenUsed/>
    <w:rsid w:val="00180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richardhaskell.net/resources/Canadice+Lake+Tech+-+Narrative+and+Financial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richardhaskell.net/resources/Canadice+Lake+Tech+-+Narrative+and+Financials.pdf" TargetMode="External"/><Relationship Id="rId5" Type="http://schemas.openxmlformats.org/officeDocument/2006/relationships/styles" Target="styles.xml"/><Relationship Id="rId10" Type="http://schemas.openxmlformats.org/officeDocument/2006/relationships/hyperlink" Target="http://richardhaskell.net/resources/Sample+Cash+Flow+Forecast+9-14-2021.xls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469D38D6F00243A0B00E9C580DF17A" ma:contentTypeVersion="14" ma:contentTypeDescription="Create a new document." ma:contentTypeScope="" ma:versionID="e50c3263add3a6b31aa60c5c3cb66898">
  <xsd:schema xmlns:xsd="http://www.w3.org/2001/XMLSchema" xmlns:xs="http://www.w3.org/2001/XMLSchema" xmlns:p="http://schemas.microsoft.com/office/2006/metadata/properties" xmlns:ns3="c2612fa5-ccce-4251-b75c-38c81acd357a" xmlns:ns4="069fdbfb-56fb-4063-9646-a6eb9499c54a" targetNamespace="http://schemas.microsoft.com/office/2006/metadata/properties" ma:root="true" ma:fieldsID="db6fb4ca8df2b23ac72915b8ab0313e6" ns3:_="" ns4:_="">
    <xsd:import namespace="c2612fa5-ccce-4251-b75c-38c81acd357a"/>
    <xsd:import namespace="069fdbfb-56fb-4063-9646-a6eb9499c5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12fa5-ccce-4251-b75c-38c81acd35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9fdbfb-56fb-4063-9646-a6eb9499c5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25F6C3-D362-47B0-9ADF-D17ABFA93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12fa5-ccce-4251-b75c-38c81acd357a"/>
    <ds:schemaRef ds:uri="069fdbfb-56fb-4063-9646-a6eb9499c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73E679-7A5F-4A53-9088-7DC3B41318A6}">
  <ds:schemaRefs>
    <ds:schemaRef ds:uri="http://schemas.microsoft.com/sharepoint/v3/contenttype/forms"/>
  </ds:schemaRefs>
</ds:datastoreItem>
</file>

<file path=customXml/itemProps3.xml><?xml version="1.0" encoding="utf-8"?>
<ds:datastoreItem xmlns:ds="http://schemas.openxmlformats.org/officeDocument/2006/customXml" ds:itemID="{44508906-6FB9-41E9-A8D3-5A3A1E986251}">
  <ds:schemaRefs>
    <ds:schemaRef ds:uri="http://www.w3.org/XML/1998/namespace"/>
    <ds:schemaRef ds:uri="069fdbfb-56fb-4063-9646-a6eb9499c54a"/>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c2612fa5-ccce-4251-b75c-38c81acd357a"/>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Westminster College</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Haskell</dc:creator>
  <cp:keywords/>
  <dc:description/>
  <cp:lastModifiedBy>Richard Haskell</cp:lastModifiedBy>
  <cp:revision>5</cp:revision>
  <cp:lastPrinted>2021-09-02T15:48:00Z</cp:lastPrinted>
  <dcterms:created xsi:type="dcterms:W3CDTF">2021-09-23T23:52:00Z</dcterms:created>
  <dcterms:modified xsi:type="dcterms:W3CDTF">2021-09-24T02:11:00Z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0x01010054469D38D6F00243A0B00E9C580DF17A</vt:lpwstr>
  </property>
</Properties>
</file>