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3A796" w14:textId="0620B258" w:rsidR="009919D7" w:rsidRDefault="00431354" w:rsidP="009919D7">
      <w:pPr>
        <w:jc w:val="center"/>
        <w:rPr>
          <w:b/>
        </w:rPr>
      </w:pPr>
      <w:r>
        <w:rPr>
          <w:b/>
        </w:rPr>
        <w:t>Consul Data</w:t>
      </w:r>
      <w:r w:rsidR="009919D7">
        <w:rPr>
          <w:b/>
        </w:rPr>
        <w:t>, LLC</w:t>
      </w:r>
      <w:r w:rsidR="009919D7">
        <w:rPr>
          <w:rStyle w:val="FootnoteReference"/>
          <w:b/>
        </w:rPr>
        <w:footnoteReference w:id="1"/>
      </w:r>
      <w:r w:rsidR="009919D7">
        <w:rPr>
          <w:b/>
        </w:rPr>
        <w:br/>
        <w:t>Representative Valuation Case</w:t>
      </w:r>
      <w:r w:rsidR="009919D7">
        <w:rPr>
          <w:rStyle w:val="FootnoteReference"/>
          <w:b/>
        </w:rPr>
        <w:footnoteReference w:id="2"/>
      </w:r>
    </w:p>
    <w:p w14:paraId="4460379A" w14:textId="39E470CD" w:rsidR="002A1B18" w:rsidRDefault="002A1B18" w:rsidP="002A1B18">
      <w:r w:rsidRPr="002A1B18">
        <w:t>Consul Data is a data analytics and consulting firm operating out of Cottonwood Heights, Utah.  The firm began operations in 201</w:t>
      </w:r>
      <w:r w:rsidR="00C0458C">
        <w:t>0</w:t>
      </w:r>
      <w:r w:rsidRPr="002A1B18">
        <w:t xml:space="preserve"> and has sought to provide data analytics </w:t>
      </w:r>
      <w:r w:rsidR="00D01734">
        <w:t>for</w:t>
      </w:r>
      <w:r w:rsidRPr="002A1B18">
        <w:t xml:space="preserve"> consumer and enterprise</w:t>
      </w:r>
      <w:r>
        <w:t xml:space="preserve"> marketing and product development.  The firm’s founder holds a PhD in Economics from the University of Utah and developed much of the firm’s operating structure while working with students in a series of senior seminars on multi-variate regression modeling</w:t>
      </w:r>
      <w:r w:rsidR="00D01734">
        <w:t xml:space="preserve"> using large data sets</w:t>
      </w:r>
      <w:r>
        <w:t xml:space="preserve">.  The firm has gone on to develop proprietary machine learning </w:t>
      </w:r>
      <w:r w:rsidR="00C0458C">
        <w:t>technologies</w:t>
      </w:r>
      <w:r>
        <w:t xml:space="preserve"> (utility and design patents pending), intuitive user interfaces, </w:t>
      </w:r>
      <w:r w:rsidR="00D01734">
        <w:t>and e</w:t>
      </w:r>
      <w:r>
        <w:t>mployee and client accountability systems, dashboards, customizable for its growing client list.</w:t>
      </w:r>
    </w:p>
    <w:p w14:paraId="5756074E" w14:textId="7CEBC1EC" w:rsidR="002D37F9" w:rsidRDefault="002A1B18" w:rsidP="002A1B18">
      <w:r>
        <w:t xml:space="preserve">The market for such products and services is still developing and is challenging to assign an expected growth rate, but Consul Data’s growth appears to be limited </w:t>
      </w:r>
      <w:r w:rsidR="00D01734">
        <w:t>only by</w:t>
      </w:r>
      <w:r>
        <w:t xml:space="preserve"> the founder’s ability to replicate his skill sets and business network.  </w:t>
      </w:r>
      <w:r w:rsidR="002D37F9">
        <w:t xml:space="preserve">The founder brought no financial capital into the venture, but contributed software code, business relationships, considerable research outcomes, and patentable intellectual property.  </w:t>
      </w:r>
    </w:p>
    <w:p w14:paraId="7B7B7A1C" w14:textId="373FD12C" w:rsidR="00D94C02" w:rsidRDefault="00D94C02" w:rsidP="002A1B18">
      <w:r>
        <w:t>As of the end of 2019 the firm’s operating assets are carried on the balance sheet at $3.2 million, including $800,000 for the office building</w:t>
      </w:r>
      <w:r w:rsidR="002A5FA0">
        <w:t xml:space="preserve"> the firm owns and in which it is the only occupant</w:t>
      </w:r>
      <w:r>
        <w:t>, recently appraised at $1.9 million.</w:t>
      </w:r>
      <w:r w:rsidR="006B3150">
        <w:t xml:space="preserve">  Additionally, the firm shows net working capital on the balance sheet of $125,000. </w:t>
      </w:r>
    </w:p>
    <w:p w14:paraId="43E856B6" w14:textId="5DF0EF62" w:rsidR="000F35BB" w:rsidRDefault="002A1B18" w:rsidP="002A1B18">
      <w:r>
        <w:t xml:space="preserve">In the firm’s earliest stages </w:t>
      </w:r>
      <w:r w:rsidR="00D01734">
        <w:t>the firm</w:t>
      </w:r>
      <w:r>
        <w:t xml:space="preserve"> raised two rounds of equity funding through Angel</w:t>
      </w:r>
      <w:r w:rsidR="008E45F8">
        <w:t xml:space="preserve"> investors (</w:t>
      </w:r>
      <w:r>
        <w:t>personal associates</w:t>
      </w:r>
      <w:r w:rsidR="008E45F8">
        <w:t xml:space="preserve"> and family members).  </w:t>
      </w:r>
      <w:r w:rsidR="002A5FA0">
        <w:t>In 2011 t</w:t>
      </w:r>
      <w:r>
        <w:t xml:space="preserve">he first round </w:t>
      </w:r>
      <w:r w:rsidR="008E45F8">
        <w:t xml:space="preserve">raised through four equal investors acquiring </w:t>
      </w:r>
      <w:r w:rsidR="00BC6DEB">
        <w:t xml:space="preserve">40% of the firm’s equity </w:t>
      </w:r>
      <w:r w:rsidR="00D01734">
        <w:t>in exchange for</w:t>
      </w:r>
      <w:r w:rsidR="00BC6DEB">
        <w:t xml:space="preserve"> $5</w:t>
      </w:r>
      <w:r w:rsidR="002D37F9">
        <w:t>50</w:t>
      </w:r>
      <w:r w:rsidR="00BC6DEB">
        <w:t>,</w:t>
      </w:r>
      <w:r w:rsidR="002D37F9">
        <w:t>0</w:t>
      </w:r>
      <w:r w:rsidR="00BC6DEB">
        <w:t>00</w:t>
      </w:r>
      <w:r w:rsidR="00D01734">
        <w:t xml:space="preserve">, establishing a firm </w:t>
      </w:r>
      <w:r w:rsidR="00BC6DEB">
        <w:t>valuation of $1,3</w:t>
      </w:r>
      <w:r w:rsidR="002D37F9">
        <w:t>75</w:t>
      </w:r>
      <w:r w:rsidR="00BC6DEB">
        <w:t>,</w:t>
      </w:r>
      <w:r w:rsidR="002D37F9">
        <w:t>000</w:t>
      </w:r>
      <w:r w:rsidR="00BC6DEB">
        <w:t xml:space="preserve">.  The </w:t>
      </w:r>
      <w:r w:rsidR="00C0458C">
        <w:t xml:space="preserve">remaining </w:t>
      </w:r>
      <w:r w:rsidR="00BC6DEB">
        <w:t xml:space="preserve">60% </w:t>
      </w:r>
      <w:r w:rsidR="00C0458C">
        <w:t xml:space="preserve">of common equity share were maintained by </w:t>
      </w:r>
      <w:r w:rsidR="00BC6DEB">
        <w:t>the founder</w:t>
      </w:r>
      <w:r w:rsidR="00C0458C">
        <w:t xml:space="preserve"> and the total shares outstanding equaled 5,000,000 shares.</w:t>
      </w:r>
      <w:r w:rsidR="002D37F9">
        <w:t xml:space="preserve">  Based on the initial funding round, the assets, intellectual contributions and relationships of the founder appear to have been valued at approximately $850,000.</w:t>
      </w:r>
      <w:r w:rsidR="00C0458C">
        <w:t xml:space="preserve">  </w:t>
      </w:r>
    </w:p>
    <w:p w14:paraId="71046B3C" w14:textId="4B311DA1" w:rsidR="000F35BB" w:rsidRDefault="008E45F8" w:rsidP="002A1B18">
      <w:r>
        <w:t xml:space="preserve">The second </w:t>
      </w:r>
      <w:r w:rsidR="00475DBF">
        <w:t xml:space="preserve">funding </w:t>
      </w:r>
      <w:r>
        <w:t xml:space="preserve">round </w:t>
      </w:r>
      <w:r w:rsidR="002A5FA0">
        <w:t xml:space="preserve">in </w:t>
      </w:r>
      <w:r w:rsidR="00475DBF">
        <w:t xml:space="preserve">2014 </w:t>
      </w:r>
      <w:r>
        <w:t>raised an additional $</w:t>
      </w:r>
      <w:r w:rsidR="002D37F9">
        <w:t>3</w:t>
      </w:r>
      <w:r>
        <w:t xml:space="preserve">00,000 through </w:t>
      </w:r>
      <w:r w:rsidR="002D37F9">
        <w:t>three</w:t>
      </w:r>
      <w:r>
        <w:t xml:space="preserve"> investors who were not part of the initial round in exchange</w:t>
      </w:r>
      <w:r w:rsidR="002D37F9">
        <w:t xml:space="preserve"> for 30% of the firm’s equity resulting in a down round and the dilution of the existing stake holder’s equity share.</w:t>
      </w:r>
    </w:p>
    <w:p w14:paraId="6BAC2363" w14:textId="50EF5ECC" w:rsidR="00AB06F6" w:rsidRDefault="00C0458C" w:rsidP="002A1B18">
      <w:r>
        <w:t xml:space="preserve">By 2015 the surplus cash generated by the first </w:t>
      </w:r>
      <w:r w:rsidR="002D37F9">
        <w:t xml:space="preserve">two </w:t>
      </w:r>
      <w:r>
        <w:t>funding round</w:t>
      </w:r>
      <w:r w:rsidR="002D37F9">
        <w:t>s</w:t>
      </w:r>
      <w:r>
        <w:t xml:space="preserve"> had been exhausted as a result of</w:t>
      </w:r>
      <w:r w:rsidR="002D37F9">
        <w:t xml:space="preserve"> persistent</w:t>
      </w:r>
      <w:r w:rsidR="000F35BB">
        <w:t xml:space="preserve"> </w:t>
      </w:r>
      <w:r>
        <w:t>operating losses</w:t>
      </w:r>
      <w:r w:rsidR="000F35BB">
        <w:t xml:space="preserve">.  As a result </w:t>
      </w:r>
      <w:r>
        <w:t xml:space="preserve">the firm </w:t>
      </w:r>
      <w:r w:rsidR="002D37F9">
        <w:t xml:space="preserve">negotiated </w:t>
      </w:r>
      <w:r>
        <w:t xml:space="preserve">a </w:t>
      </w:r>
      <w:r w:rsidR="002D37F9">
        <w:t xml:space="preserve">$1,000,000 </w:t>
      </w:r>
      <w:r>
        <w:t xml:space="preserve">credit line collateralized by the firm’s patents and founder’s personal assets </w:t>
      </w:r>
      <w:r w:rsidR="002D37F9">
        <w:t xml:space="preserve">at a </w:t>
      </w:r>
      <w:r w:rsidR="000F35BB">
        <w:t xml:space="preserve">12% </w:t>
      </w:r>
      <w:r w:rsidR="002D37F9">
        <w:t>rate.  The firm also gave up a</w:t>
      </w:r>
      <w:r w:rsidR="000F35BB">
        <w:t xml:space="preserve"> 10% equity stake</w:t>
      </w:r>
      <w:r w:rsidR="002D37F9">
        <w:t xml:space="preserve"> to the creditor, further diluting the equity stake of earlier investors</w:t>
      </w:r>
      <w:r w:rsidR="000F35BB">
        <w:t>.</w:t>
      </w:r>
    </w:p>
    <w:p w14:paraId="0121E107" w14:textId="2C13568A" w:rsidR="002D37F9" w:rsidRDefault="000F35BB" w:rsidP="002A1B18">
      <w:r>
        <w:t>U</w:t>
      </w:r>
      <w:r w:rsidR="00B13924">
        <w:t xml:space="preserve">nderstanding the firm’s critical reliance on the founder for future successes, </w:t>
      </w:r>
      <w:r>
        <w:t xml:space="preserve">the early stage investors </w:t>
      </w:r>
      <w:r w:rsidR="00B13924">
        <w:t xml:space="preserve">bound the founder </w:t>
      </w:r>
      <w:r>
        <w:t xml:space="preserve">to the firm through </w:t>
      </w:r>
      <w:r w:rsidR="00B13924">
        <w:t>a 10</w:t>
      </w:r>
      <w:r>
        <w:t>-</w:t>
      </w:r>
      <w:r w:rsidR="00B13924">
        <w:t>year employment contract at a rate of $250,000 per year.</w:t>
      </w:r>
      <w:r w:rsidR="00BE4CCF">
        <w:t xml:space="preserve">  </w:t>
      </w:r>
      <w:r w:rsidR="00AB06F6">
        <w:t xml:space="preserve">The founder has not taken a salary or any capital distributions since the founding of the company, but has </w:t>
      </w:r>
      <w:r w:rsidR="002D37F9">
        <w:t xml:space="preserve">elected </w:t>
      </w:r>
      <w:r w:rsidR="00AB06F6">
        <w:t>to accept a deferred compensation package representing $1 of preferred stock with a 10% dividend for every dollar of salary not taken.</w:t>
      </w:r>
      <w:r w:rsidR="00D94C02">
        <w:t xml:space="preserve">  While this has been agreed upon, neither the Founder nor </w:t>
      </w:r>
      <w:r w:rsidR="00D94C02">
        <w:lastRenderedPageBreak/>
        <w:t>other equity stakeholders have calculated the impact of this arrangement on share values or ownership interests.</w:t>
      </w:r>
    </w:p>
    <w:p w14:paraId="34692FF7" w14:textId="1A5FF2B7" w:rsidR="002A5FA0" w:rsidRDefault="002D37F9">
      <w:r>
        <w:t xml:space="preserve">Substantial operating losses notwithstanding, Consul Data’s </w:t>
      </w:r>
      <w:r w:rsidR="00C67329">
        <w:t>revenue growth has</w:t>
      </w:r>
      <w:r w:rsidR="00697E6B">
        <w:t xml:space="preserve"> been impressive and in</w:t>
      </w:r>
      <w:r w:rsidR="00777FBE">
        <w:t>vestor expectations remain high.  A few of the investors have questioned the valuation inferred by the funding rounds and are resistant to further dilution without some indication the firm will bec</w:t>
      </w:r>
      <w:r w:rsidR="00D94C02">
        <w:t xml:space="preserve">ome profitable and sustainable.  </w:t>
      </w:r>
      <w:r w:rsidR="002A5FA0">
        <w:t>The valuations on which the funding rounds have been based were estimated by negotiation between the Founder and investors and were not the product of a full valuation assessment.  Nonetheless, the estimated equity values the firm has used are as follows:</w:t>
      </w:r>
    </w:p>
    <w:p w14:paraId="6DEF03E2" w14:textId="77777777" w:rsidR="00B1355E" w:rsidRDefault="00B1355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2333"/>
      </w:tblGrid>
      <w:tr w:rsidR="00B1355E" w:rsidRPr="00B1355E" w14:paraId="075EAE6A" w14:textId="77777777" w:rsidTr="00B1355E">
        <w:trPr>
          <w:trHeight w:val="288"/>
          <w:jc w:val="center"/>
        </w:trPr>
        <w:tc>
          <w:tcPr>
            <w:tcW w:w="0" w:type="auto"/>
            <w:hideMark/>
          </w:tcPr>
          <w:p w14:paraId="67AB653E" w14:textId="156BB227" w:rsidR="00B1355E" w:rsidRPr="00B1355E" w:rsidRDefault="00B1355E" w:rsidP="00B1355E">
            <w:pPr>
              <w:rPr>
                <w:b/>
                <w:bCs/>
              </w:rPr>
            </w:pPr>
            <w:r w:rsidRPr="00B1355E">
              <w:rPr>
                <w:b/>
                <w:bCs/>
              </w:rPr>
              <w:t>Year</w:t>
            </w:r>
          </w:p>
        </w:tc>
        <w:tc>
          <w:tcPr>
            <w:tcW w:w="0" w:type="auto"/>
            <w:hideMark/>
          </w:tcPr>
          <w:p w14:paraId="3557E0FA" w14:textId="77777777" w:rsidR="00B1355E" w:rsidRPr="00B1355E" w:rsidRDefault="00B1355E" w:rsidP="00B1355E">
            <w:pPr>
              <w:rPr>
                <w:b/>
                <w:bCs/>
              </w:rPr>
            </w:pPr>
            <w:r w:rsidRPr="00B1355E">
              <w:rPr>
                <w:b/>
                <w:bCs/>
              </w:rPr>
              <w:t>Estimated Equity Value</w:t>
            </w:r>
          </w:p>
        </w:tc>
      </w:tr>
      <w:tr w:rsidR="00B1355E" w:rsidRPr="00B1355E" w14:paraId="196450D2" w14:textId="77777777" w:rsidTr="00B1355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5655D8F2" w14:textId="77777777" w:rsidR="00B1355E" w:rsidRPr="00B1355E" w:rsidRDefault="00B1355E" w:rsidP="00B1355E">
            <w:r w:rsidRPr="00B1355E">
              <w:t>2010</w:t>
            </w:r>
          </w:p>
        </w:tc>
        <w:tc>
          <w:tcPr>
            <w:tcW w:w="0" w:type="auto"/>
            <w:noWrap/>
            <w:hideMark/>
          </w:tcPr>
          <w:p w14:paraId="36709DD9" w14:textId="77777777" w:rsidR="00B1355E" w:rsidRPr="00B1355E" w:rsidRDefault="00B1355E">
            <w:r w:rsidRPr="00B1355E">
              <w:t xml:space="preserve">           850,000 </w:t>
            </w:r>
          </w:p>
        </w:tc>
      </w:tr>
      <w:tr w:rsidR="00B1355E" w:rsidRPr="00B1355E" w14:paraId="5AFA141D" w14:textId="77777777" w:rsidTr="00B1355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387D4A9A" w14:textId="77777777" w:rsidR="00B1355E" w:rsidRPr="00B1355E" w:rsidRDefault="00B1355E" w:rsidP="00B1355E">
            <w:r w:rsidRPr="00B1355E">
              <w:t>2011</w:t>
            </w:r>
          </w:p>
        </w:tc>
        <w:tc>
          <w:tcPr>
            <w:tcW w:w="0" w:type="auto"/>
            <w:noWrap/>
            <w:hideMark/>
          </w:tcPr>
          <w:p w14:paraId="39A3C645" w14:textId="77777777" w:rsidR="00B1355E" w:rsidRPr="00B1355E" w:rsidRDefault="00B1355E">
            <w:r w:rsidRPr="00B1355E">
              <w:t xml:space="preserve">        1,375,000 </w:t>
            </w:r>
          </w:p>
        </w:tc>
      </w:tr>
      <w:tr w:rsidR="00B1355E" w:rsidRPr="00B1355E" w14:paraId="037FF8F0" w14:textId="77777777" w:rsidTr="00B1355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46E28E93" w14:textId="77777777" w:rsidR="00B1355E" w:rsidRPr="00B1355E" w:rsidRDefault="00B1355E" w:rsidP="00B1355E">
            <w:r w:rsidRPr="00B1355E">
              <w:t>2012</w:t>
            </w:r>
          </w:p>
        </w:tc>
        <w:tc>
          <w:tcPr>
            <w:tcW w:w="0" w:type="auto"/>
            <w:noWrap/>
            <w:hideMark/>
          </w:tcPr>
          <w:p w14:paraId="7C8488C5" w14:textId="77777777" w:rsidR="00B1355E" w:rsidRPr="00B1355E" w:rsidRDefault="00B1355E">
            <w:r w:rsidRPr="00B1355E">
              <w:t xml:space="preserve">        1,500,000 </w:t>
            </w:r>
          </w:p>
        </w:tc>
      </w:tr>
      <w:tr w:rsidR="00B1355E" w:rsidRPr="00B1355E" w14:paraId="7A3876A8" w14:textId="77777777" w:rsidTr="00B1355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5F7DBCF8" w14:textId="77777777" w:rsidR="00B1355E" w:rsidRPr="00B1355E" w:rsidRDefault="00B1355E" w:rsidP="00B1355E">
            <w:r w:rsidRPr="00B1355E">
              <w:t>2013</w:t>
            </w:r>
          </w:p>
        </w:tc>
        <w:tc>
          <w:tcPr>
            <w:tcW w:w="0" w:type="auto"/>
            <w:noWrap/>
            <w:hideMark/>
          </w:tcPr>
          <w:p w14:paraId="75C74F41" w14:textId="77777777" w:rsidR="00B1355E" w:rsidRPr="00B1355E" w:rsidRDefault="00B1355E">
            <w:r w:rsidRPr="00B1355E">
              <w:t xml:space="preserve">        1,650,000 </w:t>
            </w:r>
          </w:p>
        </w:tc>
      </w:tr>
      <w:tr w:rsidR="00B1355E" w:rsidRPr="00B1355E" w14:paraId="09377143" w14:textId="77777777" w:rsidTr="00B1355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632D0995" w14:textId="77777777" w:rsidR="00B1355E" w:rsidRPr="00B1355E" w:rsidRDefault="00B1355E" w:rsidP="00B1355E">
            <w:r w:rsidRPr="00B1355E">
              <w:t>2014</w:t>
            </w:r>
          </w:p>
        </w:tc>
        <w:tc>
          <w:tcPr>
            <w:tcW w:w="0" w:type="auto"/>
            <w:noWrap/>
            <w:hideMark/>
          </w:tcPr>
          <w:p w14:paraId="51D59163" w14:textId="77777777" w:rsidR="00B1355E" w:rsidRPr="00B1355E" w:rsidRDefault="00B1355E">
            <w:r w:rsidRPr="00B1355E">
              <w:t xml:space="preserve">        1,000,000 </w:t>
            </w:r>
          </w:p>
        </w:tc>
      </w:tr>
      <w:tr w:rsidR="00B1355E" w:rsidRPr="00B1355E" w14:paraId="6EEE82FA" w14:textId="77777777" w:rsidTr="00B1355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2F00D934" w14:textId="77777777" w:rsidR="00B1355E" w:rsidRPr="00B1355E" w:rsidRDefault="00B1355E" w:rsidP="00B1355E">
            <w:r w:rsidRPr="00B1355E">
              <w:t>2015</w:t>
            </w:r>
          </w:p>
        </w:tc>
        <w:tc>
          <w:tcPr>
            <w:tcW w:w="0" w:type="auto"/>
            <w:noWrap/>
            <w:hideMark/>
          </w:tcPr>
          <w:p w14:paraId="4E996CC4" w14:textId="77777777" w:rsidR="00B1355E" w:rsidRPr="00B1355E" w:rsidRDefault="00B1355E">
            <w:r w:rsidRPr="00B1355E">
              <w:t xml:space="preserve">        1,200,000 </w:t>
            </w:r>
          </w:p>
        </w:tc>
      </w:tr>
      <w:tr w:rsidR="00B1355E" w:rsidRPr="00B1355E" w14:paraId="2DC96288" w14:textId="77777777" w:rsidTr="00B1355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4F23A09D" w14:textId="77777777" w:rsidR="00B1355E" w:rsidRPr="00B1355E" w:rsidRDefault="00B1355E" w:rsidP="00B1355E">
            <w:r w:rsidRPr="00B1355E">
              <w:t>2016</w:t>
            </w:r>
          </w:p>
        </w:tc>
        <w:tc>
          <w:tcPr>
            <w:tcW w:w="0" w:type="auto"/>
            <w:noWrap/>
            <w:hideMark/>
          </w:tcPr>
          <w:p w14:paraId="24D5812D" w14:textId="77777777" w:rsidR="00B1355E" w:rsidRPr="00B1355E" w:rsidRDefault="00B1355E">
            <w:r w:rsidRPr="00B1355E">
              <w:t xml:space="preserve">        1,350,000 </w:t>
            </w:r>
          </w:p>
        </w:tc>
      </w:tr>
      <w:tr w:rsidR="00B1355E" w:rsidRPr="00B1355E" w14:paraId="4000030D" w14:textId="77777777" w:rsidTr="00B1355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21D5C450" w14:textId="77777777" w:rsidR="00B1355E" w:rsidRPr="00B1355E" w:rsidRDefault="00B1355E" w:rsidP="00B1355E">
            <w:r w:rsidRPr="00B1355E">
              <w:t>2017</w:t>
            </w:r>
          </w:p>
        </w:tc>
        <w:tc>
          <w:tcPr>
            <w:tcW w:w="0" w:type="auto"/>
            <w:noWrap/>
            <w:hideMark/>
          </w:tcPr>
          <w:p w14:paraId="20D900CA" w14:textId="77777777" w:rsidR="00B1355E" w:rsidRPr="00B1355E" w:rsidRDefault="00B1355E">
            <w:r w:rsidRPr="00B1355E">
              <w:t xml:space="preserve">        1,425,000 </w:t>
            </w:r>
          </w:p>
        </w:tc>
      </w:tr>
      <w:tr w:rsidR="00B1355E" w:rsidRPr="00B1355E" w14:paraId="3E779379" w14:textId="77777777" w:rsidTr="00B1355E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5B81D001" w14:textId="77777777" w:rsidR="00B1355E" w:rsidRPr="00B1355E" w:rsidRDefault="00B1355E" w:rsidP="00B1355E">
            <w:r w:rsidRPr="00B1355E">
              <w:t>2018</w:t>
            </w:r>
          </w:p>
        </w:tc>
        <w:tc>
          <w:tcPr>
            <w:tcW w:w="0" w:type="auto"/>
            <w:noWrap/>
            <w:hideMark/>
          </w:tcPr>
          <w:p w14:paraId="1E159EBE" w14:textId="77777777" w:rsidR="00B1355E" w:rsidRPr="00B1355E" w:rsidRDefault="00B1355E">
            <w:r w:rsidRPr="00B1355E">
              <w:t xml:space="preserve">        1,650,000 </w:t>
            </w:r>
          </w:p>
        </w:tc>
      </w:tr>
    </w:tbl>
    <w:p w14:paraId="5AF4503D" w14:textId="77777777" w:rsidR="002A5FA0" w:rsidRDefault="002A5FA0"/>
    <w:p w14:paraId="260D3172" w14:textId="4052612A" w:rsidR="00D94C02" w:rsidRDefault="00D94C02">
      <w:r>
        <w:t xml:space="preserve">The firm’s Founder has been approached by Opportunity Capital, a regional venture capital investor, regarding a $2,000,000 equity investment.  Opportunity Capital is requiring a credible, independent valuation estimation be conducted to determine the firm’s market value and that the firm account for all possible outstanding share obligations. </w:t>
      </w:r>
    </w:p>
    <w:p w14:paraId="63180EBA" w14:textId="77777777" w:rsidR="00D94C02" w:rsidRDefault="00D94C02"/>
    <w:p w14:paraId="2CF1F9C7" w14:textId="6A41A1E1" w:rsidR="00D94C02" w:rsidRDefault="00D94C02"/>
    <w:p w14:paraId="42268528" w14:textId="77777777" w:rsidR="00D94C02" w:rsidRDefault="00D94C02">
      <w:pPr>
        <w:sectPr w:rsidR="00D94C02" w:rsidSect="004313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556BDA" w14:textId="5ABF4E96" w:rsidR="002A1B18" w:rsidRDefault="009D16B5" w:rsidP="00B1355E">
      <w:pPr>
        <w:jc w:val="center"/>
      </w:pPr>
      <w:r w:rsidRPr="009D16B5">
        <w:lastRenderedPageBreak/>
        <w:drawing>
          <wp:inline distT="0" distB="0" distL="0" distR="0" wp14:anchorId="1C34CEF7" wp14:editId="4D79774C">
            <wp:extent cx="8229600" cy="608933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B18" w:rsidSect="00777F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D1BB" w14:textId="77777777" w:rsidR="009919D7" w:rsidRDefault="009919D7" w:rsidP="009919D7">
      <w:pPr>
        <w:spacing w:after="0" w:line="240" w:lineRule="auto"/>
      </w:pPr>
      <w:r>
        <w:separator/>
      </w:r>
    </w:p>
  </w:endnote>
  <w:endnote w:type="continuationSeparator" w:id="0">
    <w:p w14:paraId="62B50BC3" w14:textId="77777777" w:rsidR="009919D7" w:rsidRDefault="009919D7" w:rsidP="0099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8FF02" w14:textId="77777777" w:rsidR="009919D7" w:rsidRDefault="009919D7" w:rsidP="009919D7">
      <w:pPr>
        <w:spacing w:after="0" w:line="240" w:lineRule="auto"/>
      </w:pPr>
      <w:r>
        <w:separator/>
      </w:r>
    </w:p>
  </w:footnote>
  <w:footnote w:type="continuationSeparator" w:id="0">
    <w:p w14:paraId="4A2D7D17" w14:textId="77777777" w:rsidR="009919D7" w:rsidRDefault="009919D7" w:rsidP="009919D7">
      <w:pPr>
        <w:spacing w:after="0" w:line="240" w:lineRule="auto"/>
      </w:pPr>
      <w:r>
        <w:continuationSeparator/>
      </w:r>
    </w:p>
  </w:footnote>
  <w:footnote w:id="1">
    <w:p w14:paraId="16269479" w14:textId="36707467" w:rsidR="009919D7" w:rsidRDefault="009919D7" w:rsidP="009919D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This Valuation Case is representative of actual firms for which live valuation estimations have been performed by the author and/or Associates.  The names, locations, and quantitative details have been altered to protect the subject firms’ privacy.</w:t>
      </w:r>
    </w:p>
  </w:footnote>
  <w:footnote w:id="2">
    <w:p w14:paraId="4A5F16FD" w14:textId="3FF4D53A" w:rsidR="009919D7" w:rsidRPr="00546198" w:rsidRDefault="009919D7" w:rsidP="009919D7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Developed by Richard Haskell, PhD (rhaskell@westminstercollege.edu), Gore School of Business, Westminster College, SLC, U T, (2019).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A61BB4"/>
    <w:rsid w:val="00023BEC"/>
    <w:rsid w:val="00035604"/>
    <w:rsid w:val="00052C07"/>
    <w:rsid w:val="000F3428"/>
    <w:rsid w:val="000F35BB"/>
    <w:rsid w:val="00130541"/>
    <w:rsid w:val="00163821"/>
    <w:rsid w:val="00165E6C"/>
    <w:rsid w:val="00167D20"/>
    <w:rsid w:val="00183859"/>
    <w:rsid w:val="00183978"/>
    <w:rsid w:val="001927BD"/>
    <w:rsid w:val="001A2F9A"/>
    <w:rsid w:val="001E3653"/>
    <w:rsid w:val="001E4CAC"/>
    <w:rsid w:val="001F1510"/>
    <w:rsid w:val="00215BF6"/>
    <w:rsid w:val="00223CCC"/>
    <w:rsid w:val="00244F28"/>
    <w:rsid w:val="002506B1"/>
    <w:rsid w:val="00266713"/>
    <w:rsid w:val="002A10AA"/>
    <w:rsid w:val="002A1B18"/>
    <w:rsid w:val="002A5FA0"/>
    <w:rsid w:val="002D37F9"/>
    <w:rsid w:val="00323A4D"/>
    <w:rsid w:val="00367712"/>
    <w:rsid w:val="00370CBA"/>
    <w:rsid w:val="00372077"/>
    <w:rsid w:val="00390F65"/>
    <w:rsid w:val="003A1D04"/>
    <w:rsid w:val="003A45A9"/>
    <w:rsid w:val="003B370D"/>
    <w:rsid w:val="003C09E9"/>
    <w:rsid w:val="003C3EA8"/>
    <w:rsid w:val="003D183C"/>
    <w:rsid w:val="00406B22"/>
    <w:rsid w:val="00414748"/>
    <w:rsid w:val="00415439"/>
    <w:rsid w:val="00431354"/>
    <w:rsid w:val="00435F89"/>
    <w:rsid w:val="00475DBF"/>
    <w:rsid w:val="00476748"/>
    <w:rsid w:val="004A0454"/>
    <w:rsid w:val="004C6B9E"/>
    <w:rsid w:val="004D6E8B"/>
    <w:rsid w:val="004E0779"/>
    <w:rsid w:val="0057227C"/>
    <w:rsid w:val="005C77A3"/>
    <w:rsid w:val="005E1F71"/>
    <w:rsid w:val="006055A9"/>
    <w:rsid w:val="006107E1"/>
    <w:rsid w:val="00610AC2"/>
    <w:rsid w:val="006140D1"/>
    <w:rsid w:val="00621C48"/>
    <w:rsid w:val="00637A5A"/>
    <w:rsid w:val="006603C0"/>
    <w:rsid w:val="00661DBA"/>
    <w:rsid w:val="006835CA"/>
    <w:rsid w:val="00697E6B"/>
    <w:rsid w:val="006B3150"/>
    <w:rsid w:val="006B3AE1"/>
    <w:rsid w:val="006C1C37"/>
    <w:rsid w:val="006E035B"/>
    <w:rsid w:val="006F0408"/>
    <w:rsid w:val="007004B4"/>
    <w:rsid w:val="00702D0E"/>
    <w:rsid w:val="00714949"/>
    <w:rsid w:val="00777FBE"/>
    <w:rsid w:val="00786F9B"/>
    <w:rsid w:val="007A7B99"/>
    <w:rsid w:val="007B319D"/>
    <w:rsid w:val="007C3D93"/>
    <w:rsid w:val="007F4192"/>
    <w:rsid w:val="00801938"/>
    <w:rsid w:val="0080443E"/>
    <w:rsid w:val="00833F93"/>
    <w:rsid w:val="00841959"/>
    <w:rsid w:val="008547A7"/>
    <w:rsid w:val="00884460"/>
    <w:rsid w:val="00887F13"/>
    <w:rsid w:val="008A1F11"/>
    <w:rsid w:val="008C3A41"/>
    <w:rsid w:val="008E33E7"/>
    <w:rsid w:val="008E45F8"/>
    <w:rsid w:val="008E4F07"/>
    <w:rsid w:val="008F4D37"/>
    <w:rsid w:val="009104AA"/>
    <w:rsid w:val="00911711"/>
    <w:rsid w:val="009539DA"/>
    <w:rsid w:val="009919D7"/>
    <w:rsid w:val="009D16B5"/>
    <w:rsid w:val="009D5C41"/>
    <w:rsid w:val="009F6A6A"/>
    <w:rsid w:val="00A002DF"/>
    <w:rsid w:val="00A24431"/>
    <w:rsid w:val="00A3725E"/>
    <w:rsid w:val="00A46AB8"/>
    <w:rsid w:val="00A51272"/>
    <w:rsid w:val="00A61BB4"/>
    <w:rsid w:val="00A74B00"/>
    <w:rsid w:val="00AA5702"/>
    <w:rsid w:val="00AB06F6"/>
    <w:rsid w:val="00AB59FA"/>
    <w:rsid w:val="00AB676D"/>
    <w:rsid w:val="00AB7608"/>
    <w:rsid w:val="00AD0BEB"/>
    <w:rsid w:val="00AE12B0"/>
    <w:rsid w:val="00B1355E"/>
    <w:rsid w:val="00B13924"/>
    <w:rsid w:val="00B17933"/>
    <w:rsid w:val="00B22895"/>
    <w:rsid w:val="00B473C3"/>
    <w:rsid w:val="00BC108C"/>
    <w:rsid w:val="00BC6DEB"/>
    <w:rsid w:val="00BD010A"/>
    <w:rsid w:val="00BD0163"/>
    <w:rsid w:val="00BE4CCF"/>
    <w:rsid w:val="00C0458C"/>
    <w:rsid w:val="00C26FFF"/>
    <w:rsid w:val="00C27AC3"/>
    <w:rsid w:val="00C67329"/>
    <w:rsid w:val="00C9559B"/>
    <w:rsid w:val="00C95B6D"/>
    <w:rsid w:val="00CA07F0"/>
    <w:rsid w:val="00CB7A7E"/>
    <w:rsid w:val="00CE38BC"/>
    <w:rsid w:val="00D01734"/>
    <w:rsid w:val="00D33530"/>
    <w:rsid w:val="00D75911"/>
    <w:rsid w:val="00D92378"/>
    <w:rsid w:val="00D94C02"/>
    <w:rsid w:val="00DC0413"/>
    <w:rsid w:val="00DC0ED1"/>
    <w:rsid w:val="00DC0F1A"/>
    <w:rsid w:val="00E038D9"/>
    <w:rsid w:val="00E23CBB"/>
    <w:rsid w:val="00E32428"/>
    <w:rsid w:val="00E524C2"/>
    <w:rsid w:val="00E656B4"/>
    <w:rsid w:val="00E83329"/>
    <w:rsid w:val="00E93EED"/>
    <w:rsid w:val="00EC7694"/>
    <w:rsid w:val="00F26966"/>
    <w:rsid w:val="00F3784C"/>
    <w:rsid w:val="00F5139C"/>
    <w:rsid w:val="00F80AA2"/>
    <w:rsid w:val="00FD2FF2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CEE8"/>
  <w15:chartTrackingRefBased/>
  <w15:docId w15:val="{B38EE2AA-9910-4284-9339-CB17AB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19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9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Haskell</dc:creator>
  <cp:keywords/>
  <dc:description/>
  <cp:lastModifiedBy>Rick Haskell</cp:lastModifiedBy>
  <cp:revision>9</cp:revision>
  <cp:lastPrinted>2019-05-22T14:58:00Z</cp:lastPrinted>
  <dcterms:created xsi:type="dcterms:W3CDTF">2019-05-20T23:15:00Z</dcterms:created>
  <dcterms:modified xsi:type="dcterms:W3CDTF">2020-03-03T15:39:00Z</dcterms:modified>
</cp:coreProperties>
</file>