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83714" w14:textId="77777777" w:rsidR="009D7597" w:rsidRDefault="009D7597" w:rsidP="009D7597">
      <w:pPr>
        <w:spacing w:after="0" w:line="259" w:lineRule="auto"/>
        <w:rPr>
          <w:b/>
          <w:sz w:val="20"/>
          <w:szCs w:val="20"/>
        </w:rPr>
      </w:pPr>
    </w:p>
    <w:p w14:paraId="72C5BAED" w14:textId="77777777" w:rsidR="009D7597" w:rsidRDefault="009D7597" w:rsidP="009D7597">
      <w:pPr>
        <w:spacing w:after="0" w:line="259" w:lineRule="auto"/>
        <w:rPr>
          <w:b/>
          <w:sz w:val="20"/>
          <w:szCs w:val="20"/>
        </w:rPr>
      </w:pPr>
    </w:p>
    <w:p w14:paraId="26A10CF0" w14:textId="503D7AF1" w:rsidR="009D7597" w:rsidRPr="00E65C6B" w:rsidRDefault="00CB52DD" w:rsidP="009D7597">
      <w:pPr>
        <w:spacing w:after="0" w:line="240" w:lineRule="auto"/>
        <w:jc w:val="center"/>
        <w:rPr>
          <w:b/>
          <w:sz w:val="28"/>
          <w:szCs w:val="28"/>
        </w:rPr>
      </w:pPr>
      <w:r>
        <w:rPr>
          <w:b/>
          <w:sz w:val="28"/>
          <w:szCs w:val="28"/>
        </w:rPr>
        <w:t xml:space="preserve">Equity </w:t>
      </w:r>
      <w:r w:rsidR="003068BC">
        <w:rPr>
          <w:b/>
          <w:sz w:val="28"/>
          <w:szCs w:val="28"/>
        </w:rPr>
        <w:t>Valuation</w:t>
      </w:r>
      <w:r w:rsidR="009D7597" w:rsidRPr="00E65C6B">
        <w:rPr>
          <w:rStyle w:val="FootnoteReference"/>
          <w:b/>
          <w:sz w:val="28"/>
          <w:szCs w:val="28"/>
        </w:rPr>
        <w:footnoteReference w:id="1"/>
      </w:r>
      <w:r w:rsidR="009D7597" w:rsidRPr="00E65C6B">
        <w:rPr>
          <w:b/>
          <w:sz w:val="28"/>
          <w:szCs w:val="28"/>
        </w:rPr>
        <w:br/>
        <w:t>Quick Sheet</w:t>
      </w:r>
      <w:r w:rsidR="009D7597" w:rsidRPr="00E65C6B">
        <w:rPr>
          <w:rStyle w:val="FootnoteReference"/>
          <w:b/>
          <w:sz w:val="28"/>
          <w:szCs w:val="28"/>
        </w:rPr>
        <w:footnoteReference w:id="2"/>
      </w:r>
    </w:p>
    <w:p w14:paraId="1F9D2F0D" w14:textId="1DCF87AF" w:rsidR="00BC58FC" w:rsidRPr="007B51A2" w:rsidRDefault="009D7597" w:rsidP="009D7597">
      <w:pPr>
        <w:spacing w:after="160" w:line="259" w:lineRule="auto"/>
      </w:pPr>
      <w:r>
        <w:rPr>
          <w:b/>
          <w:sz w:val="20"/>
          <w:szCs w:val="20"/>
        </w:rPr>
        <w:br/>
      </w:r>
      <w:r w:rsidR="00BC58FC" w:rsidRPr="007B51A2">
        <w:t>Sophisticated i</w:t>
      </w:r>
      <w:r w:rsidR="00506CE9" w:rsidRPr="007B51A2">
        <w:t>nvestors</w:t>
      </w:r>
      <w:r w:rsidR="00BC58FC" w:rsidRPr="007B51A2">
        <w:t xml:space="preserve"> rarely rely on others to estimate the value of a stock they might be considering.  They prefer to estimate the stock’s value themselves and then compare that estimated value to the value reflected in the market </w:t>
      </w:r>
      <w:r w:rsidR="00E21921" w:rsidRPr="007B51A2">
        <w:t xml:space="preserve">(price) </w:t>
      </w:r>
      <w:r w:rsidR="00BC58FC" w:rsidRPr="007B51A2">
        <w:t>for that same stock.  If the estimated value is less than the</w:t>
      </w:r>
      <w:r w:rsidR="00E21921" w:rsidRPr="007B51A2">
        <w:t xml:space="preserve"> price</w:t>
      </w:r>
      <w:r w:rsidR="00BC58FC" w:rsidRPr="007B51A2">
        <w:t xml:space="preserve">, the investor may consider selling the stock if they own it, take a pass on </w:t>
      </w:r>
      <w:r w:rsidR="00E21921" w:rsidRPr="007B51A2">
        <w:t xml:space="preserve">purchasing </w:t>
      </w:r>
      <w:r w:rsidR="00BC58FC" w:rsidRPr="007B51A2">
        <w:t xml:space="preserve">the stock, or possibly consider selling the stock short – a risky, but sometimes lucrative strategy that should only be considered by savvy, experienced investors. </w:t>
      </w:r>
      <w:r w:rsidR="00B7279F" w:rsidRPr="007B51A2">
        <w:t xml:space="preserve"> If the price is less than the value, an interested and objective investor may choose to purchase the firm’s shares – also known as taking a “long” position in the firm.</w:t>
      </w:r>
    </w:p>
    <w:p w14:paraId="1003F535" w14:textId="28209424" w:rsidR="00B7279F" w:rsidRPr="007B51A2" w:rsidRDefault="00B7279F" w:rsidP="009D7597">
      <w:pPr>
        <w:spacing w:after="160" w:line="259" w:lineRule="auto"/>
      </w:pPr>
      <w:r w:rsidRPr="007B51A2">
        <w:t xml:space="preserve">To understand how to value a firm and its stock we need to begin with the premise that a firm’s value to its investors has little to do with what it produces for its consumers and everything to do with what it produces for its investors.  For an objective investor the firm produces one thing and one thing only: cash flow or profits.  What is a firm worth to its investors?  That’s harder to answer than one might suppose, but it invariably include identifying how the investor might value the firm’s expected future cash flows.  That’s what the firm’s investors actually own, the rights to the firm’s future expected cash flows. </w:t>
      </w:r>
    </w:p>
    <w:p w14:paraId="7139F2B9" w14:textId="35971289" w:rsidR="00C30FF3" w:rsidRPr="007B51A2" w:rsidRDefault="00BC58FC" w:rsidP="009D7597">
      <w:pPr>
        <w:spacing w:after="160" w:line="259" w:lineRule="auto"/>
      </w:pPr>
      <w:r w:rsidRPr="007B51A2">
        <w:t xml:space="preserve">Estimating a stock’s value </w:t>
      </w:r>
      <w:r w:rsidR="00D433CD" w:rsidRPr="007B51A2">
        <w:t xml:space="preserve">often begins with </w:t>
      </w:r>
      <w:r w:rsidRPr="007B51A2">
        <w:t>estimating the value of the entire firm</w:t>
      </w:r>
      <w:r w:rsidR="00D433CD" w:rsidRPr="007B51A2">
        <w:t xml:space="preserve"> </w:t>
      </w:r>
      <w:r w:rsidR="00C30FF3" w:rsidRPr="007B51A2">
        <w:t xml:space="preserve">– the </w:t>
      </w:r>
      <w:r w:rsidR="003F31A2" w:rsidRPr="007B51A2">
        <w:t>firm’s enterprise value</w:t>
      </w:r>
      <w:r w:rsidR="00C30FF3" w:rsidRPr="007B51A2">
        <w:t>.</w:t>
      </w:r>
      <w:r w:rsidR="003F31A2" w:rsidRPr="007B51A2">
        <w:t xml:space="preserve"> </w:t>
      </w:r>
      <w:r w:rsidR="00C30FF3" w:rsidRPr="007B51A2">
        <w:t xml:space="preserve"> O</w:t>
      </w:r>
      <w:r w:rsidR="00D433CD" w:rsidRPr="007B51A2">
        <w:t xml:space="preserve">ne </w:t>
      </w:r>
      <w:r w:rsidR="00C30FF3" w:rsidRPr="007B51A2">
        <w:t xml:space="preserve">approach to this valuation </w:t>
      </w:r>
      <w:r w:rsidR="00D433CD" w:rsidRPr="007B51A2">
        <w:t>is through the use of a discounted cash flow model (DCF); another is by using a</w:t>
      </w:r>
      <w:r w:rsidR="00C30FF3" w:rsidRPr="007B51A2">
        <w:t xml:space="preserve">n </w:t>
      </w:r>
      <w:r w:rsidR="00D433CD" w:rsidRPr="007B51A2">
        <w:t xml:space="preserve">Enterprise </w:t>
      </w:r>
      <w:r w:rsidR="00C30FF3" w:rsidRPr="007B51A2">
        <w:t>M</w:t>
      </w:r>
      <w:r w:rsidR="00D433CD" w:rsidRPr="007B51A2">
        <w:t>ultiple</w:t>
      </w:r>
      <w:r w:rsidR="00C30FF3" w:rsidRPr="007B51A2">
        <w:t xml:space="preserve">, either are credible methods, </w:t>
      </w:r>
      <w:r w:rsidR="00D433CD" w:rsidRPr="007B51A2">
        <w:t xml:space="preserve">but recall that the firm’s </w:t>
      </w:r>
      <w:r w:rsidR="00C30FF3" w:rsidRPr="007B51A2">
        <w:t xml:space="preserve">equity (stock) </w:t>
      </w:r>
      <w:r w:rsidR="00D433CD" w:rsidRPr="007B51A2">
        <w:t xml:space="preserve">is only one of its capital components and we can’t simply take the value of the </w:t>
      </w:r>
      <w:r w:rsidR="00C30FF3" w:rsidRPr="007B51A2">
        <w:t xml:space="preserve">entire </w:t>
      </w:r>
      <w:r w:rsidR="00D433CD" w:rsidRPr="007B51A2">
        <w:t xml:space="preserve">firm and divide it by the number of </w:t>
      </w:r>
      <w:r w:rsidR="00C30FF3" w:rsidRPr="007B51A2">
        <w:t>equity s</w:t>
      </w:r>
      <w:r w:rsidR="00D433CD" w:rsidRPr="007B51A2">
        <w:t>hares outstanding</w:t>
      </w:r>
      <w:r w:rsidR="00C30FF3" w:rsidRPr="007B51A2">
        <w:t xml:space="preserve"> to reach the value of each equity share – to do this w</w:t>
      </w:r>
      <w:r w:rsidR="00D433CD" w:rsidRPr="007B51A2">
        <w:t>e need to find the value of the firm’s</w:t>
      </w:r>
      <w:r w:rsidR="00C30FF3" w:rsidRPr="007B51A2">
        <w:t xml:space="preserve"> </w:t>
      </w:r>
      <w:r w:rsidR="0035547F">
        <w:t>e</w:t>
      </w:r>
      <w:r w:rsidR="00C30FF3" w:rsidRPr="007B51A2">
        <w:t>quity through the use of the Enterprise Value (EV) equation and then find the value of each equity share.</w:t>
      </w:r>
    </w:p>
    <w:p w14:paraId="1A4E232E" w14:textId="03FDDAB6" w:rsidR="00E21921" w:rsidRDefault="00E21921" w:rsidP="009D7597">
      <w:pPr>
        <w:spacing w:after="160" w:line="259" w:lineRule="auto"/>
      </w:pPr>
      <w:r w:rsidRPr="007B51A2">
        <w:t>Some investors seek to estimate a stock’s value based on its dividend, or the amount the firm may pay equity shareholders.  Since many firms do not offer dividends this is an incomplete valuation method and must be updated</w:t>
      </w:r>
      <w:r w:rsidR="00B7279F" w:rsidRPr="007B51A2">
        <w:t xml:space="preserve"> to include the firm’s future cash flows rather than the dividends alone.  However, a stock valuation model form using dividends as a proxy for those</w:t>
      </w:r>
      <w:r w:rsidR="0035547F">
        <w:t xml:space="preserve"> cash flows is often considered.</w:t>
      </w:r>
    </w:p>
    <w:p w14:paraId="640AF07D" w14:textId="667589A0" w:rsidR="0035547F" w:rsidRPr="007B51A2" w:rsidRDefault="0035547F" w:rsidP="009D7597">
      <w:pPr>
        <w:spacing w:after="160" w:line="259" w:lineRule="auto"/>
      </w:pPr>
      <w:r>
        <w:t>Investors often think about the price of a stock as a function of the company’s earnings in a price-earnings ratio (PE ratio).  The PE ratio is a form of a valuation multiple, the use of which avoids the problem we sometimes observe for non-dividend paying firms.</w:t>
      </w:r>
      <w:bookmarkStart w:id="0" w:name="_GoBack"/>
      <w:bookmarkEnd w:id="0"/>
      <w:r>
        <w:t xml:space="preserve">    </w:t>
      </w:r>
    </w:p>
    <w:p w14:paraId="0B7A09F7" w14:textId="60E902FF" w:rsidR="009D7597" w:rsidRPr="00E65C6B" w:rsidRDefault="009D7597" w:rsidP="009D7597">
      <w:pPr>
        <w:spacing w:after="160" w:line="259" w:lineRule="auto"/>
        <w:rPr>
          <w:b/>
          <w:sz w:val="24"/>
          <w:szCs w:val="24"/>
          <w:u w:val="single"/>
        </w:rPr>
      </w:pPr>
      <w:r>
        <w:rPr>
          <w:b/>
          <w:sz w:val="24"/>
          <w:szCs w:val="24"/>
          <w:u w:val="single"/>
        </w:rPr>
        <w:t>Concepts &amp; Terms</w:t>
      </w:r>
    </w:p>
    <w:p w14:paraId="0CDC3C01" w14:textId="77777777" w:rsidR="000C36D8" w:rsidRDefault="000C36D8" w:rsidP="000C36D8">
      <w:pPr>
        <w:rPr>
          <w:rFonts w:ascii="Calibri" w:eastAsia="Times New Roman" w:hAnsi="Calibri" w:cs="Calibri"/>
          <w:color w:val="000000"/>
        </w:rPr>
      </w:pPr>
      <w:r w:rsidRPr="00C30FF3">
        <w:rPr>
          <w:rFonts w:ascii="Calibri" w:eastAsia="Times New Roman" w:hAnsi="Calibri" w:cs="Calibri"/>
          <w:b/>
          <w:color w:val="000000"/>
        </w:rPr>
        <w:t>Asked:</w:t>
      </w:r>
      <w:r>
        <w:rPr>
          <w:rFonts w:ascii="Calibri" w:eastAsia="Times New Roman" w:hAnsi="Calibri" w:cs="Calibri"/>
          <w:color w:val="000000"/>
        </w:rPr>
        <w:t xml:space="preserve"> the price a seller is “asking” in exchange for an equity share</w:t>
      </w:r>
    </w:p>
    <w:p w14:paraId="6DDCC672" w14:textId="77F6AFE0" w:rsidR="000C36D8" w:rsidRDefault="000C36D8" w:rsidP="000C36D8">
      <w:pPr>
        <w:spacing w:after="160" w:line="259" w:lineRule="auto"/>
        <w:rPr>
          <w:rFonts w:eastAsiaTheme="minorEastAsia"/>
          <w:b/>
        </w:rPr>
      </w:pPr>
      <w:r w:rsidRPr="00C30FF3">
        <w:rPr>
          <w:rFonts w:ascii="Calibri" w:eastAsia="Times New Roman" w:hAnsi="Calibri" w:cs="Calibri"/>
          <w:b/>
          <w:color w:val="000000"/>
        </w:rPr>
        <w:t>Bid:</w:t>
      </w:r>
      <w:r>
        <w:rPr>
          <w:rFonts w:ascii="Calibri" w:eastAsia="Times New Roman" w:hAnsi="Calibri" w:cs="Calibri"/>
          <w:color w:val="000000"/>
        </w:rPr>
        <w:t xml:space="preserve"> the price at which a buyer is prepared to purchase an equity share</w:t>
      </w:r>
    </w:p>
    <w:p w14:paraId="616E212D" w14:textId="77777777" w:rsidR="000C36D8" w:rsidRPr="007B51A2" w:rsidRDefault="000C36D8" w:rsidP="000C36D8">
      <w:pPr>
        <w:spacing w:after="0" w:line="259" w:lineRule="auto"/>
      </w:pPr>
      <w:r w:rsidRPr="007B51A2">
        <w:rPr>
          <w:b/>
        </w:rPr>
        <w:t>Capital Gain</w:t>
      </w:r>
      <w:r w:rsidRPr="007B51A2">
        <w:t>: this is the change in value of the stock from the point of purchased and can be expressed in nominal terms, as an overall percentage rate, or as an average annual percentage rate:</w:t>
      </w:r>
    </w:p>
    <w:p w14:paraId="58FB9F60" w14:textId="77777777" w:rsidR="000C36D8" w:rsidRPr="00C62CBA" w:rsidRDefault="000C36D8" w:rsidP="000C36D8">
      <w:pPr>
        <w:pStyle w:val="ListParagraph"/>
        <w:numPr>
          <w:ilvl w:val="0"/>
          <w:numId w:val="2"/>
        </w:numPr>
        <w:spacing w:after="0" w:line="259" w:lineRule="auto"/>
        <w:rPr>
          <w:rFonts w:eastAsiaTheme="minorEastAsia"/>
          <w:sz w:val="20"/>
          <w:szCs w:val="20"/>
        </w:rPr>
      </w:pPr>
      <w:r w:rsidRPr="007B51A2">
        <w:rPr>
          <w:b/>
        </w:rPr>
        <w:t>Nominal</w:t>
      </w:r>
      <w:r w:rsidRPr="007B51A2">
        <w:t>:</w:t>
      </w:r>
      <w:r>
        <w:t xml:space="preserve"> </w:t>
      </w:r>
      <m:oMath>
        <m:d>
          <m:dPr>
            <m:ctrlPr>
              <w:rPr>
                <w:rFonts w:ascii="Cambria Math" w:hAnsi="Cambria Math"/>
                <w:i/>
                <w:sz w:val="20"/>
                <w:szCs w:val="20"/>
              </w:rPr>
            </m:ctrlPr>
          </m:dPr>
          <m:e>
            <m:r>
              <w:rPr>
                <w:rFonts w:ascii="Cambria Math" w:hAnsi="Cambria Math"/>
                <w:sz w:val="20"/>
                <w:szCs w:val="20"/>
              </w:rPr>
              <m:t>Current Price per Share-Purchase Price per Share</m:t>
            </m:r>
          </m:e>
        </m:d>
        <m:r>
          <w:rPr>
            <w:rFonts w:ascii="Cambria Math" w:hAnsi="Cambria Math"/>
            <w:sz w:val="20"/>
            <w:szCs w:val="20"/>
          </w:rPr>
          <m:t xml:space="preserve"> x Shares Purchased</m:t>
        </m:r>
      </m:oMath>
    </w:p>
    <w:p w14:paraId="3799550B" w14:textId="77777777" w:rsidR="000C36D8" w:rsidRPr="000C36D8" w:rsidRDefault="000C36D8" w:rsidP="00396DF1">
      <w:pPr>
        <w:pStyle w:val="ListParagraph"/>
        <w:numPr>
          <w:ilvl w:val="0"/>
          <w:numId w:val="2"/>
        </w:numPr>
        <w:spacing w:after="160" w:line="259" w:lineRule="auto"/>
        <w:rPr>
          <w:rFonts w:eastAsiaTheme="minorEastAsia"/>
          <w:b/>
        </w:rPr>
      </w:pPr>
      <w:r w:rsidRPr="000C36D8">
        <w:rPr>
          <w:rFonts w:eastAsiaTheme="minorEastAsia"/>
          <w:b/>
        </w:rPr>
        <w:t>Overall Percentage Rate</w:t>
      </w:r>
      <w:r w:rsidRPr="000C36D8">
        <w:rPr>
          <w:rFonts w:eastAsiaTheme="minorEastAsia"/>
        </w:rPr>
        <w:t xml:space="preserve">: </w:t>
      </w:r>
      <m:oMath>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Current Price per Share-Purchase Price per Share</m:t>
                </m:r>
              </m:e>
            </m:d>
          </m:num>
          <m:den>
            <m:r>
              <w:rPr>
                <w:rFonts w:ascii="Cambria Math" w:hAnsi="Cambria Math"/>
                <w:sz w:val="20"/>
                <w:szCs w:val="20"/>
              </w:rPr>
              <m:t>Purchase Price Per Share</m:t>
            </m:r>
          </m:den>
        </m:f>
        <m:r>
          <w:rPr>
            <w:rFonts w:ascii="Cambria Math" w:hAnsi="Cambria Math"/>
            <w:sz w:val="20"/>
            <w:szCs w:val="20"/>
          </w:rPr>
          <m:t xml:space="preserve"> x 100</m:t>
        </m:r>
      </m:oMath>
    </w:p>
    <w:p w14:paraId="6E3E2714" w14:textId="14BD274C" w:rsidR="000C36D8" w:rsidRPr="000C36D8" w:rsidRDefault="000C36D8" w:rsidP="00396DF1">
      <w:pPr>
        <w:pStyle w:val="ListParagraph"/>
        <w:numPr>
          <w:ilvl w:val="0"/>
          <w:numId w:val="2"/>
        </w:numPr>
        <w:spacing w:after="160" w:line="259" w:lineRule="auto"/>
        <w:rPr>
          <w:rFonts w:eastAsiaTheme="minorEastAsia"/>
          <w:b/>
        </w:rPr>
      </w:pPr>
      <w:r w:rsidRPr="000C36D8">
        <w:rPr>
          <w:b/>
        </w:rPr>
        <w:lastRenderedPageBreak/>
        <w:t>Average Annual Percentage Rate</w:t>
      </w:r>
      <w:r w:rsidRPr="007B51A2">
        <w:t>:</w:t>
      </w:r>
      <w:r w:rsidRPr="000C36D8">
        <w:rPr>
          <w:sz w:val="20"/>
          <w:szCs w:val="20"/>
        </w:rPr>
        <w:t xml:space="preserve"> </w:t>
      </w:r>
      <m:oMath>
        <m:f>
          <m:fPr>
            <m:ctrlPr>
              <w:rPr>
                <w:rFonts w:ascii="Cambria Math" w:hAnsi="Cambria Math"/>
                <w:i/>
                <w:sz w:val="20"/>
                <w:szCs w:val="20"/>
              </w:rPr>
            </m:ctrlPr>
          </m:fPr>
          <m:num>
            <m:r>
              <w:rPr>
                <w:rFonts w:ascii="Cambria Math" w:hAnsi="Cambria Math"/>
                <w:sz w:val="20"/>
                <w:szCs w:val="20"/>
              </w:rPr>
              <m:t>Overall Percentage Rate</m:t>
            </m:r>
          </m:num>
          <m:den>
            <m:r>
              <w:rPr>
                <w:rFonts w:ascii="Cambria Math" w:hAnsi="Cambria Math"/>
                <w:sz w:val="20"/>
                <w:szCs w:val="20"/>
              </w:rPr>
              <m:t>Period Held</m:t>
            </m:r>
          </m:den>
        </m:f>
      </m:oMath>
    </w:p>
    <w:p w14:paraId="2DC8042F" w14:textId="78BC6366" w:rsidR="000C36D8" w:rsidRPr="007B51A2" w:rsidRDefault="000C36D8" w:rsidP="000C36D8">
      <w:pPr>
        <w:spacing w:after="160" w:line="259" w:lineRule="auto"/>
      </w:pPr>
      <w:r w:rsidRPr="007B51A2">
        <w:rPr>
          <w:b/>
        </w:rPr>
        <w:t>Dividend</w:t>
      </w:r>
      <w:r w:rsidRPr="007B51A2">
        <w:t xml:space="preserve">: </w:t>
      </w:r>
      <w:r w:rsidRPr="007B51A2">
        <w:rPr>
          <w:rFonts w:ascii="Calibri" w:eastAsia="Times New Roman" w:hAnsi="Calibri" w:cs="Calibri"/>
          <w:color w:val="000000"/>
        </w:rPr>
        <w:t xml:space="preserve">some portion of the firm’s </w:t>
      </w:r>
      <w:r w:rsidRPr="007B51A2">
        <w:rPr>
          <w:rFonts w:ascii="Calibri" w:eastAsia="Times New Roman" w:hAnsi="Calibri" w:cs="Calibri"/>
          <w:i/>
          <w:color w:val="000000"/>
        </w:rPr>
        <w:t>cash flow</w:t>
      </w:r>
      <w:r w:rsidRPr="007B51A2">
        <w:rPr>
          <w:rFonts w:ascii="Calibri" w:eastAsia="Times New Roman" w:hAnsi="Calibri" w:cs="Calibri"/>
          <w:color w:val="000000"/>
        </w:rPr>
        <w:t xml:space="preserve"> the board of directors chooses to distribute out to investors as income.  </w:t>
      </w:r>
      <w:r w:rsidRPr="007B51A2">
        <w:rPr>
          <w:rFonts w:ascii="Calibri" w:eastAsia="Times New Roman" w:hAnsi="Calibri" w:cs="Calibri"/>
          <w:i/>
          <w:color w:val="000000"/>
        </w:rPr>
        <w:t>Dividends</w:t>
      </w:r>
      <w:r w:rsidRPr="007B51A2">
        <w:rPr>
          <w:rFonts w:ascii="Calibri" w:eastAsia="Times New Roman" w:hAnsi="Calibri" w:cs="Calibri"/>
          <w:color w:val="000000"/>
        </w:rPr>
        <w:t xml:space="preserve"> to preferred shareholders are established by the contract between the firm and its investor, commonly referred to as a prospectus.  </w:t>
      </w:r>
      <w:r w:rsidRPr="007B51A2">
        <w:rPr>
          <w:rFonts w:ascii="Calibri" w:eastAsia="Times New Roman" w:hAnsi="Calibri" w:cs="Calibri"/>
          <w:i/>
          <w:color w:val="000000"/>
        </w:rPr>
        <w:t>Dividends</w:t>
      </w:r>
      <w:r w:rsidRPr="007B51A2">
        <w:rPr>
          <w:rFonts w:ascii="Calibri" w:eastAsia="Times New Roman" w:hAnsi="Calibri" w:cs="Calibri"/>
          <w:color w:val="000000"/>
        </w:rPr>
        <w:t xml:space="preserve"> to common shareholders are the discretionary purview of the firm’s Board of Directors.  When a firm’s board elects to distribute a dividend to shareholders it declares the dividend as of a specific date: shareholders owning the stock on that date receive the dividend but those purchasing the shares after the date do not, even if they buy the shares before the dividend is paid. </w:t>
      </w:r>
    </w:p>
    <w:p w14:paraId="337BA3BF" w14:textId="77777777" w:rsidR="000C36D8" w:rsidRDefault="000C36D8" w:rsidP="000C36D8">
      <w:pPr>
        <w:rPr>
          <w:rFonts w:ascii="Calibri" w:eastAsia="Times New Roman" w:hAnsi="Calibri" w:cs="Calibri"/>
          <w:color w:val="000000"/>
        </w:rPr>
      </w:pPr>
      <w:r w:rsidRPr="00E21921">
        <w:rPr>
          <w:rFonts w:ascii="Calibri" w:eastAsia="Times New Roman" w:hAnsi="Calibri" w:cs="Calibri"/>
          <w:b/>
          <w:color w:val="000000"/>
        </w:rPr>
        <w:t>Dividends vs Cash Flows</w:t>
      </w:r>
      <w:r>
        <w:rPr>
          <w:rFonts w:ascii="Calibri" w:eastAsia="Times New Roman" w:hAnsi="Calibri" w:cs="Calibri"/>
          <w:color w:val="000000"/>
        </w:rPr>
        <w:t xml:space="preserve">: many stocks pay </w:t>
      </w:r>
      <w:r w:rsidRPr="00E21921">
        <w:rPr>
          <w:rFonts w:ascii="Calibri" w:eastAsia="Times New Roman" w:hAnsi="Calibri" w:cs="Calibri"/>
          <w:i/>
          <w:color w:val="000000"/>
        </w:rPr>
        <w:t>dividends</w:t>
      </w:r>
      <w:r>
        <w:rPr>
          <w:rFonts w:ascii="Calibri" w:eastAsia="Times New Roman" w:hAnsi="Calibri" w:cs="Calibri"/>
          <w:color w:val="000000"/>
        </w:rPr>
        <w:t xml:space="preserve"> to investors while others do not.  A </w:t>
      </w:r>
      <w:r w:rsidRPr="00E21921">
        <w:rPr>
          <w:rFonts w:ascii="Calibri" w:eastAsia="Times New Roman" w:hAnsi="Calibri" w:cs="Calibri"/>
          <w:i/>
          <w:color w:val="000000"/>
        </w:rPr>
        <w:t>dividend</w:t>
      </w:r>
      <w:r>
        <w:rPr>
          <w:rFonts w:ascii="Calibri" w:eastAsia="Times New Roman" w:hAnsi="Calibri" w:cs="Calibri"/>
          <w:color w:val="000000"/>
        </w:rPr>
        <w:t xml:space="preserve"> is some portion of the firm’s </w:t>
      </w:r>
      <w:r w:rsidRPr="00E21921">
        <w:rPr>
          <w:rFonts w:ascii="Calibri" w:eastAsia="Times New Roman" w:hAnsi="Calibri" w:cs="Calibri"/>
          <w:i/>
          <w:color w:val="000000"/>
        </w:rPr>
        <w:t>cash flow</w:t>
      </w:r>
      <w:r>
        <w:rPr>
          <w:rFonts w:ascii="Calibri" w:eastAsia="Times New Roman" w:hAnsi="Calibri" w:cs="Calibri"/>
          <w:color w:val="000000"/>
        </w:rPr>
        <w:t xml:space="preserve"> the board of directors chooses to distribute out to investors as income.  It is rarely 100% of that </w:t>
      </w:r>
      <w:r w:rsidRPr="00E21921">
        <w:rPr>
          <w:rFonts w:ascii="Calibri" w:eastAsia="Times New Roman" w:hAnsi="Calibri" w:cs="Calibri"/>
          <w:i/>
          <w:color w:val="000000"/>
        </w:rPr>
        <w:t>cash flow</w:t>
      </w:r>
      <w:r>
        <w:rPr>
          <w:rFonts w:ascii="Calibri" w:eastAsia="Times New Roman" w:hAnsi="Calibri" w:cs="Calibri"/>
          <w:color w:val="000000"/>
        </w:rPr>
        <w:t xml:space="preserve"> – any </w:t>
      </w:r>
      <w:r w:rsidRPr="00E21921">
        <w:rPr>
          <w:rFonts w:ascii="Calibri" w:eastAsia="Times New Roman" w:hAnsi="Calibri" w:cs="Calibri"/>
          <w:i/>
          <w:color w:val="000000"/>
        </w:rPr>
        <w:t>cash flow</w:t>
      </w:r>
      <w:r>
        <w:rPr>
          <w:rFonts w:ascii="Calibri" w:eastAsia="Times New Roman" w:hAnsi="Calibri" w:cs="Calibri"/>
          <w:color w:val="000000"/>
        </w:rPr>
        <w:t xml:space="preserve"> not distributed to investors in reinvested in the firm and accounts for some of the firm’s expected growth.  The firm’s </w:t>
      </w:r>
      <w:r w:rsidRPr="00E21921">
        <w:rPr>
          <w:rFonts w:ascii="Calibri" w:eastAsia="Times New Roman" w:hAnsi="Calibri" w:cs="Calibri"/>
          <w:i/>
          <w:color w:val="000000"/>
        </w:rPr>
        <w:t>cash flow</w:t>
      </w:r>
      <w:r>
        <w:rPr>
          <w:rFonts w:ascii="Calibri" w:eastAsia="Times New Roman" w:hAnsi="Calibri" w:cs="Calibri"/>
          <w:color w:val="000000"/>
        </w:rPr>
        <w:t xml:space="preserve"> is that part of its earnings the firm has available to either pay investors and income or reinvest in the firm.</w:t>
      </w:r>
    </w:p>
    <w:p w14:paraId="3FBC8FAE" w14:textId="77777777" w:rsidR="000C36D8" w:rsidRPr="007B51A2" w:rsidRDefault="000C36D8" w:rsidP="000C36D8">
      <w:pPr>
        <w:spacing w:after="0" w:line="259" w:lineRule="auto"/>
      </w:pPr>
      <w:r w:rsidRPr="007B51A2">
        <w:rPr>
          <w:b/>
        </w:rPr>
        <w:t>Dividend Yield:</w:t>
      </w:r>
      <w:r w:rsidRPr="007B51A2">
        <w:t xml:space="preserve"> an investor’s return on stock ownership as a function of the dividend it pays.  This can be thought of in nominal terms as an average or as an internal rate of return resulting from a Net Present Value calculation.</w:t>
      </w:r>
    </w:p>
    <w:p w14:paraId="4814E137" w14:textId="77777777" w:rsidR="000C36D8" w:rsidRPr="000C36D8" w:rsidRDefault="000C36D8" w:rsidP="00D2127C">
      <w:pPr>
        <w:pStyle w:val="ListParagraph"/>
        <w:numPr>
          <w:ilvl w:val="0"/>
          <w:numId w:val="1"/>
        </w:numPr>
        <w:spacing w:after="0" w:line="259" w:lineRule="auto"/>
        <w:rPr>
          <w:rFonts w:ascii="Calibri" w:eastAsia="Times New Roman" w:hAnsi="Calibri" w:cs="Calibri"/>
          <w:b/>
          <w:color w:val="000000"/>
        </w:rPr>
      </w:pPr>
      <w:r w:rsidRPr="000C36D8">
        <w:rPr>
          <w:b/>
        </w:rPr>
        <w:t>Average Dividend Yield in Nominal Terms</w:t>
      </w:r>
      <w:r w:rsidRPr="007B51A2">
        <w:t xml:space="preserve">  =</w:t>
      </w:r>
      <w:r>
        <w:t xml:space="preserve"> </w:t>
      </w:r>
      <w:r w:rsidRPr="000C36D8">
        <w:rPr>
          <w:rFonts w:eastAsiaTheme="minorEastAsia"/>
        </w:rPr>
        <w:t xml:space="preserve"> </w:t>
      </w:r>
      <m:oMath>
        <m:f>
          <m:fPr>
            <m:ctrlPr>
              <w:rPr>
                <w:rFonts w:ascii="Cambria Math" w:hAnsi="Cambria Math"/>
                <w:i/>
              </w:rPr>
            </m:ctrlPr>
          </m:fPr>
          <m:num>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Dividends Received Per Share</m:t>
                    </m:r>
                  </m:e>
                </m:nary>
              </m:num>
              <m:den>
                <m:r>
                  <w:rPr>
                    <w:rFonts w:ascii="Cambria Math" w:hAnsi="Cambria Math"/>
                  </w:rPr>
                  <m:t>Purchase Price Per Share</m:t>
                </m:r>
              </m:den>
            </m:f>
            <m:r>
              <w:rPr>
                <w:rFonts w:ascii="Cambria Math" w:hAnsi="Cambria Math"/>
              </w:rPr>
              <m:t xml:space="preserve"> x 100</m:t>
            </m:r>
          </m:num>
          <m:den>
            <m:r>
              <w:rPr>
                <w:rFonts w:ascii="Cambria Math" w:hAnsi="Cambria Math"/>
              </w:rPr>
              <m:t>Period Held</m:t>
            </m:r>
          </m:den>
        </m:f>
      </m:oMath>
      <w:r w:rsidRPr="000C36D8">
        <w:rPr>
          <w:rFonts w:eastAsiaTheme="minorEastAsia"/>
        </w:rPr>
        <w:t xml:space="preserve"> </w:t>
      </w:r>
    </w:p>
    <w:p w14:paraId="25E79143" w14:textId="6B30BECE" w:rsidR="000C36D8" w:rsidRPr="000C36D8" w:rsidRDefault="000C36D8" w:rsidP="00D2127C">
      <w:pPr>
        <w:pStyle w:val="ListParagraph"/>
        <w:numPr>
          <w:ilvl w:val="0"/>
          <w:numId w:val="1"/>
        </w:numPr>
        <w:spacing w:after="0" w:line="259" w:lineRule="auto"/>
        <w:rPr>
          <w:rFonts w:ascii="Calibri" w:eastAsia="Times New Roman" w:hAnsi="Calibri" w:cs="Calibri"/>
          <w:b/>
          <w:color w:val="000000"/>
        </w:rPr>
      </w:pPr>
      <w:r w:rsidRPr="000C36D8">
        <w:rPr>
          <w:rFonts w:eastAsiaTheme="minorEastAsia"/>
          <w:b/>
        </w:rPr>
        <w:t>Net Present Value Calculation solving for IRR</w:t>
      </w:r>
      <w:r w:rsidRPr="000C36D8">
        <w:rPr>
          <w:rFonts w:eastAsiaTheme="minorEastAsia"/>
        </w:rPr>
        <w:t xml:space="preserve"> – this is not a simple equation but an iterative process and best calculated using the Time Value Functions of a calculator or Excel.</w:t>
      </w:r>
    </w:p>
    <w:p w14:paraId="2945A643" w14:textId="288F8A75" w:rsidR="000C36D8" w:rsidRDefault="000C36D8" w:rsidP="000C36D8">
      <w:pPr>
        <w:rPr>
          <w:rFonts w:ascii="Calibri" w:eastAsia="Times New Roman" w:hAnsi="Calibri" w:cs="Calibri"/>
          <w:color w:val="000000"/>
        </w:rPr>
      </w:pPr>
      <w:r>
        <w:rPr>
          <w:rFonts w:ascii="Calibri" w:eastAsia="Times New Roman" w:hAnsi="Calibri" w:cs="Calibri"/>
          <w:b/>
          <w:color w:val="000000"/>
        </w:rPr>
        <w:br/>
      </w:r>
      <w:r w:rsidRPr="00CD70A5">
        <w:rPr>
          <w:rFonts w:ascii="Calibri" w:eastAsia="Times New Roman" w:hAnsi="Calibri" w:cs="Calibri"/>
          <w:b/>
          <w:color w:val="000000"/>
        </w:rPr>
        <w:t>Earnings</w:t>
      </w:r>
      <w:r>
        <w:rPr>
          <w:rFonts w:ascii="Calibri" w:eastAsia="Times New Roman" w:hAnsi="Calibri" w:cs="Calibri"/>
          <w:color w:val="000000"/>
        </w:rPr>
        <w:t>: generally thought of as Net Income, but earnings attributed to Common Shareholders is Net Income – Dividends Paid to Preferred Shareholders</w:t>
      </w:r>
    </w:p>
    <w:p w14:paraId="700823F1" w14:textId="3B56E2E8" w:rsidR="000C36D8" w:rsidRDefault="000C36D8" w:rsidP="000C36D8">
      <w:pPr>
        <w:rPr>
          <w:rFonts w:ascii="Calibri" w:eastAsia="Times New Roman" w:hAnsi="Calibri" w:cs="Calibri"/>
          <w:color w:val="000000"/>
        </w:rPr>
      </w:pPr>
      <w:r>
        <w:rPr>
          <w:rFonts w:ascii="Calibri" w:eastAsia="Times New Roman" w:hAnsi="Calibri" w:cs="Calibri"/>
          <w:b/>
          <w:color w:val="000000"/>
        </w:rPr>
        <w:t>E</w:t>
      </w:r>
      <w:r w:rsidRPr="00CD70A5">
        <w:rPr>
          <w:rFonts w:ascii="Calibri" w:eastAsia="Times New Roman" w:hAnsi="Calibri" w:cs="Calibri"/>
          <w:b/>
          <w:color w:val="000000"/>
        </w:rPr>
        <w:t>arnings per Share:</w:t>
      </w:r>
      <w:r>
        <w:rPr>
          <w:rFonts w:ascii="Calibri" w:eastAsia="Times New Roman" w:hAnsi="Calibri" w:cs="Calibri"/>
          <w:color w:val="000000"/>
        </w:rPr>
        <w:t xml:space="preserve"> most often calculated for Common Shareholders as</w:t>
      </w:r>
      <w:r w:rsidRPr="00F36BEF">
        <w:rPr>
          <w:rFonts w:ascii="Calibri" w:eastAsia="Times New Roman" w:hAnsi="Calibri" w:cs="Calibri"/>
          <w:color w:val="000000"/>
          <w:sz w:val="20"/>
          <w:szCs w:val="20"/>
        </w:rPr>
        <w:t xml:space="preserve"> </w:t>
      </w:r>
      <m:oMath>
        <m:f>
          <m:fPr>
            <m:ctrlPr>
              <w:rPr>
                <w:rFonts w:ascii="Cambria Math" w:eastAsia="Times New Roman" w:hAnsi="Cambria Math" w:cs="Calibri"/>
                <w:i/>
                <w:color w:val="000000"/>
                <w:sz w:val="20"/>
                <w:szCs w:val="20"/>
              </w:rPr>
            </m:ctrlPr>
          </m:fPr>
          <m:num>
            <m:r>
              <w:rPr>
                <w:rFonts w:ascii="Cambria Math" w:eastAsia="Times New Roman" w:hAnsi="Cambria Math" w:cs="Calibri"/>
                <w:color w:val="000000"/>
                <w:sz w:val="20"/>
                <w:szCs w:val="20"/>
              </w:rPr>
              <m:t>Net Income -Preferred Dividends Paid</m:t>
            </m:r>
          </m:num>
          <m:den>
            <m:r>
              <w:rPr>
                <w:rFonts w:ascii="Cambria Math" w:eastAsia="Times New Roman" w:hAnsi="Cambria Math" w:cs="Calibri"/>
                <w:color w:val="000000"/>
                <w:sz w:val="20"/>
                <w:szCs w:val="20"/>
              </w:rPr>
              <m:t>Common Shares Outstanding</m:t>
            </m:r>
          </m:den>
        </m:f>
      </m:oMath>
      <w:r>
        <w:rPr>
          <w:rFonts w:ascii="Calibri" w:eastAsia="Times New Roman" w:hAnsi="Calibri" w:cs="Calibri"/>
          <w:color w:val="000000"/>
        </w:rPr>
        <w:t xml:space="preserve"> </w:t>
      </w:r>
    </w:p>
    <w:p w14:paraId="1E45E434" w14:textId="15647156" w:rsidR="00C01438" w:rsidRPr="007B51A2" w:rsidRDefault="00C01438" w:rsidP="00C936FF">
      <w:pPr>
        <w:spacing w:after="160" w:line="259" w:lineRule="auto"/>
        <w:rPr>
          <w:b/>
        </w:rPr>
      </w:pPr>
      <w:r w:rsidRPr="007B51A2">
        <w:rPr>
          <w:rFonts w:eastAsiaTheme="minorEastAsia"/>
          <w:b/>
        </w:rPr>
        <w:t>Enterprise Value equation (EV)</w:t>
      </w:r>
      <w:r w:rsidRPr="007B51A2">
        <w:rPr>
          <w:rFonts w:eastAsiaTheme="minorEastAsia"/>
        </w:rPr>
        <w:t>: EV = Common + Preferred + Debt – Cash.</w:t>
      </w:r>
    </w:p>
    <w:p w14:paraId="3A94D19A" w14:textId="77777777" w:rsidR="000C36D8" w:rsidRDefault="000C36D8" w:rsidP="000C36D8">
      <w:pPr>
        <w:rPr>
          <w:rFonts w:ascii="Calibri" w:eastAsia="Times New Roman" w:hAnsi="Calibri" w:cs="Calibri"/>
          <w:color w:val="000000"/>
        </w:rPr>
      </w:pPr>
      <w:r w:rsidRPr="00C30FF3">
        <w:rPr>
          <w:rFonts w:ascii="Calibri" w:eastAsia="Times New Roman" w:hAnsi="Calibri" w:cs="Calibri"/>
          <w:b/>
          <w:color w:val="000000"/>
        </w:rPr>
        <w:t>Price vs Value:</w:t>
      </w:r>
      <w:r>
        <w:rPr>
          <w:rFonts w:ascii="Calibri" w:eastAsia="Times New Roman" w:hAnsi="Calibri" w:cs="Calibri"/>
          <w:color w:val="000000"/>
        </w:rPr>
        <w:t xml:space="preserve"> The </w:t>
      </w:r>
      <w:r w:rsidRPr="00C30FF3">
        <w:rPr>
          <w:rFonts w:ascii="Calibri" w:eastAsia="Times New Roman" w:hAnsi="Calibri" w:cs="Calibri"/>
          <w:i/>
          <w:color w:val="000000"/>
        </w:rPr>
        <w:t>Price</w:t>
      </w:r>
      <w:r>
        <w:rPr>
          <w:rFonts w:ascii="Calibri" w:eastAsia="Times New Roman" w:hAnsi="Calibri" w:cs="Calibri"/>
          <w:color w:val="000000"/>
        </w:rPr>
        <w:t xml:space="preserve"> of an equity share (stock) is its current market price, or the price for which it was last exchanged between two economic agents: a buyer and a seller.  The Value of an equity share is an estimated which may or may not be reflected in the stock’s current price.  </w:t>
      </w:r>
    </w:p>
    <w:p w14:paraId="7A39C401" w14:textId="77777777" w:rsidR="000C36D8" w:rsidRDefault="000C36D8" w:rsidP="000C36D8">
      <w:pPr>
        <w:rPr>
          <w:rFonts w:ascii="Calibri" w:eastAsia="Times New Roman" w:hAnsi="Calibri" w:cs="Calibri"/>
          <w:color w:val="000000"/>
        </w:rPr>
      </w:pPr>
      <w:r w:rsidRPr="00CD70A5">
        <w:rPr>
          <w:rFonts w:ascii="Calibri" w:eastAsia="Times New Roman" w:hAnsi="Calibri" w:cs="Calibri"/>
          <w:b/>
          <w:color w:val="000000"/>
        </w:rPr>
        <w:t>Price/Earnings Multiple</w:t>
      </w:r>
      <w:r>
        <w:rPr>
          <w:rFonts w:ascii="Calibri" w:eastAsia="Times New Roman" w:hAnsi="Calibri" w:cs="Calibri"/>
          <w:b/>
          <w:color w:val="000000"/>
        </w:rPr>
        <w:t xml:space="preserve"> (PE Ratio)</w:t>
      </w:r>
      <w:r>
        <w:rPr>
          <w:rFonts w:ascii="Calibri" w:eastAsia="Times New Roman" w:hAnsi="Calibri" w:cs="Calibri"/>
          <w:color w:val="000000"/>
        </w:rPr>
        <w:t xml:space="preserve">: Most often calculated for common shares only </w:t>
      </w:r>
      <w:r w:rsidRPr="00F36BEF">
        <w:rPr>
          <w:rFonts w:ascii="Calibri" w:eastAsia="Times New Roman" w:hAnsi="Calibri" w:cs="Calibri"/>
          <w:color w:val="000000"/>
          <w:sz w:val="20"/>
          <w:szCs w:val="20"/>
        </w:rPr>
        <w:t xml:space="preserve"> </w:t>
      </w:r>
      <m:oMath>
        <m:f>
          <m:fPr>
            <m:ctrlPr>
              <w:rPr>
                <w:rFonts w:ascii="Cambria Math" w:eastAsia="Times New Roman" w:hAnsi="Cambria Math" w:cs="Calibri"/>
                <w:i/>
                <w:color w:val="000000"/>
                <w:sz w:val="20"/>
                <w:szCs w:val="20"/>
              </w:rPr>
            </m:ctrlPr>
          </m:fPr>
          <m:num>
            <m:r>
              <w:rPr>
                <w:rFonts w:ascii="Cambria Math" w:eastAsia="Times New Roman" w:hAnsi="Cambria Math" w:cs="Calibri"/>
                <w:color w:val="000000"/>
                <w:sz w:val="20"/>
                <w:szCs w:val="20"/>
              </w:rPr>
              <m:t>Price per Share: Common</m:t>
            </m:r>
          </m:num>
          <m:den>
            <m:r>
              <w:rPr>
                <w:rFonts w:ascii="Cambria Math" w:eastAsia="Times New Roman" w:hAnsi="Cambria Math" w:cs="Calibri"/>
                <w:color w:val="000000"/>
                <w:sz w:val="20"/>
                <w:szCs w:val="20"/>
              </w:rPr>
              <m:t>Earnings per Share: Common</m:t>
            </m:r>
          </m:den>
        </m:f>
      </m:oMath>
    </w:p>
    <w:p w14:paraId="3920FB14" w14:textId="77777777" w:rsidR="000C36D8" w:rsidRDefault="000C36D8" w:rsidP="000C36D8">
      <w:pPr>
        <w:spacing w:after="0"/>
        <w:rPr>
          <w:rFonts w:ascii="Calibri" w:eastAsia="Times New Roman" w:hAnsi="Calibri" w:cs="Calibri"/>
          <w:color w:val="000000"/>
        </w:rPr>
      </w:pPr>
      <w:r w:rsidRPr="00CD70A5">
        <w:rPr>
          <w:rFonts w:ascii="Calibri" w:eastAsia="Times New Roman" w:hAnsi="Calibri" w:cs="Calibri"/>
          <w:b/>
          <w:color w:val="000000"/>
        </w:rPr>
        <w:t>Shares Outstanding</w:t>
      </w:r>
      <w:r>
        <w:rPr>
          <w:rFonts w:ascii="Calibri" w:eastAsia="Times New Roman" w:hAnsi="Calibri" w:cs="Calibri"/>
          <w:color w:val="000000"/>
        </w:rPr>
        <w:t>: Equity shares in the hands of investors.  This is often noted as “diluted” and “recurring”</w:t>
      </w:r>
    </w:p>
    <w:p w14:paraId="162B0094" w14:textId="77777777" w:rsidR="000C36D8" w:rsidRPr="000C36D8" w:rsidRDefault="000C36D8" w:rsidP="00220DC4">
      <w:pPr>
        <w:pStyle w:val="ListParagraph"/>
        <w:numPr>
          <w:ilvl w:val="0"/>
          <w:numId w:val="3"/>
        </w:numPr>
        <w:spacing w:after="160" w:line="259" w:lineRule="auto"/>
        <w:rPr>
          <w:b/>
        </w:rPr>
      </w:pPr>
      <w:r w:rsidRPr="000C36D8">
        <w:rPr>
          <w:rFonts w:ascii="Calibri" w:eastAsia="Times New Roman" w:hAnsi="Calibri" w:cs="Calibri"/>
          <w:b/>
          <w:color w:val="000000"/>
        </w:rPr>
        <w:t>Recurring:</w:t>
      </w:r>
      <w:r w:rsidRPr="000C36D8">
        <w:rPr>
          <w:rFonts w:ascii="Calibri" w:eastAsia="Times New Roman" w:hAnsi="Calibri" w:cs="Calibri"/>
          <w:color w:val="000000"/>
        </w:rPr>
        <w:t xml:space="preserve"> Includes only those shares that have been sold and issued to investors</w:t>
      </w:r>
    </w:p>
    <w:p w14:paraId="4007F5A5" w14:textId="1F3A2F08" w:rsidR="000C36D8" w:rsidRPr="000C36D8" w:rsidRDefault="000C36D8" w:rsidP="00220DC4">
      <w:pPr>
        <w:pStyle w:val="ListParagraph"/>
        <w:numPr>
          <w:ilvl w:val="0"/>
          <w:numId w:val="3"/>
        </w:numPr>
        <w:spacing w:after="160" w:line="259" w:lineRule="auto"/>
        <w:rPr>
          <w:b/>
        </w:rPr>
      </w:pPr>
      <w:r w:rsidRPr="000C36D8">
        <w:rPr>
          <w:rFonts w:ascii="Calibri" w:eastAsia="Times New Roman" w:hAnsi="Calibri" w:cs="Calibri"/>
          <w:b/>
          <w:color w:val="000000"/>
        </w:rPr>
        <w:t>Diluted:</w:t>
      </w:r>
      <w:r w:rsidRPr="000C36D8">
        <w:rPr>
          <w:rFonts w:ascii="Calibri" w:eastAsia="Times New Roman" w:hAnsi="Calibri" w:cs="Calibri"/>
          <w:color w:val="000000"/>
        </w:rPr>
        <w:t xml:space="preserve"> Includes recurring shares plus shares that may be issued as the result of investors exercising stock options and warrants issued by the firm</w:t>
      </w:r>
    </w:p>
    <w:p w14:paraId="14A11709" w14:textId="390073D8" w:rsidR="00461E21" w:rsidRDefault="00C936FF">
      <w:pPr>
        <w:spacing w:after="160" w:line="259" w:lineRule="auto"/>
        <w:rPr>
          <w:rFonts w:ascii="Calibri" w:eastAsia="Times New Roman" w:hAnsi="Calibri" w:cs="Calibri"/>
          <w:color w:val="000000"/>
        </w:rPr>
      </w:pPr>
      <w:r w:rsidRPr="007B51A2">
        <w:rPr>
          <w:b/>
        </w:rPr>
        <w:t>Total Return to Shareholders:</w:t>
      </w:r>
      <w:r w:rsidRPr="007B51A2">
        <w:t xml:space="preserve"> the dividend yield (return) to an investor plus the capital gains resulting from the change in per share price in the market.  </w:t>
      </w:r>
      <w:r w:rsidR="000C36D8">
        <w:br/>
      </w:r>
    </w:p>
    <w:p w14:paraId="1117848D" w14:textId="6BEEB63F" w:rsidR="00F66DC9" w:rsidRPr="00524CEA" w:rsidRDefault="0014357A" w:rsidP="00F66DC9">
      <w:pPr>
        <w:spacing w:after="0" w:line="259" w:lineRule="auto"/>
        <w:rPr>
          <w:b/>
          <w:sz w:val="24"/>
          <w:szCs w:val="24"/>
          <w:u w:val="single"/>
        </w:rPr>
      </w:pPr>
      <w:r>
        <w:rPr>
          <w:b/>
          <w:sz w:val="24"/>
          <w:szCs w:val="24"/>
          <w:u w:val="single"/>
        </w:rPr>
        <w:t xml:space="preserve">Using the Dividend Growth Model </w:t>
      </w:r>
      <w:r w:rsidR="00AC16E0">
        <w:rPr>
          <w:b/>
          <w:sz w:val="24"/>
          <w:szCs w:val="24"/>
          <w:u w:val="single"/>
        </w:rPr>
        <w:t xml:space="preserve">&amp; </w:t>
      </w:r>
      <w:r>
        <w:rPr>
          <w:b/>
          <w:sz w:val="24"/>
          <w:szCs w:val="24"/>
          <w:u w:val="single"/>
        </w:rPr>
        <w:t>Gordon Growth Model</w:t>
      </w:r>
    </w:p>
    <w:p w14:paraId="037281D0" w14:textId="03817A3B" w:rsidR="0014357A" w:rsidRDefault="0014357A" w:rsidP="00F66DC9">
      <w:pPr>
        <w:spacing w:after="0" w:line="259" w:lineRule="auto"/>
        <w:rPr>
          <w:b/>
          <w:sz w:val="20"/>
          <w:szCs w:val="20"/>
        </w:rPr>
      </w:pPr>
    </w:p>
    <w:p w14:paraId="76F3C17B" w14:textId="164CBCAF" w:rsidR="00461E21" w:rsidRPr="007B51A2" w:rsidRDefault="00AE79B2" w:rsidP="00F66DC9">
      <w:pPr>
        <w:spacing w:after="0" w:line="259" w:lineRule="auto"/>
      </w:pPr>
      <w:r w:rsidRPr="007B51A2">
        <w:t xml:space="preserve">Valuing stocks based on their dividends alone grossly understate their value as most firms do not pay dividends.  However, a </w:t>
      </w:r>
      <w:r w:rsidR="000248FD" w:rsidRPr="007B51A2">
        <w:t xml:space="preserve">variety of </w:t>
      </w:r>
      <w:r w:rsidRPr="007B51A2">
        <w:t>model</w:t>
      </w:r>
      <w:r w:rsidR="000248FD" w:rsidRPr="007B51A2">
        <w:t>s are presented in most Finance text</w:t>
      </w:r>
      <w:r w:rsidR="00461E21" w:rsidRPr="007B51A2">
        <w:t>s</w:t>
      </w:r>
      <w:r w:rsidR="000248FD" w:rsidRPr="007B51A2">
        <w:t xml:space="preserve"> based on th</w:t>
      </w:r>
      <w:r w:rsidR="00461E21" w:rsidRPr="007B51A2">
        <w:t xml:space="preserve">e use of dividends as a form of cash flow to investors.  Each model form </w:t>
      </w:r>
      <w:r w:rsidR="00220AD4" w:rsidRPr="007B51A2">
        <w:t xml:space="preserve">works on the premise that a firm’s dividend will be paid to </w:t>
      </w:r>
      <w:r w:rsidR="00220AD4" w:rsidRPr="007B51A2">
        <w:lastRenderedPageBreak/>
        <w:t xml:space="preserve">shareholders </w:t>
      </w:r>
      <w:r w:rsidR="00C62CBA" w:rsidRPr="007B51A2">
        <w:t xml:space="preserve">for an indefinite period, which must be interpreted as perpetual or infinite.  Each model form includes the </w:t>
      </w:r>
      <w:r w:rsidR="00461E21" w:rsidRPr="007B51A2">
        <w:t>following variables:</w:t>
      </w:r>
    </w:p>
    <w:p w14:paraId="678EB7EE" w14:textId="32AF18E2" w:rsidR="00461E21" w:rsidRPr="007B51A2" w:rsidRDefault="00461E21" w:rsidP="00461E21">
      <w:pPr>
        <w:pStyle w:val="ListParagraph"/>
        <w:numPr>
          <w:ilvl w:val="0"/>
          <w:numId w:val="4"/>
        </w:numPr>
        <w:spacing w:after="0" w:line="259" w:lineRule="auto"/>
      </w:pPr>
      <w:r w:rsidRPr="007B51A2">
        <w:rPr>
          <w:b/>
        </w:rPr>
        <w:t>P</w:t>
      </w:r>
      <w:r w:rsidRPr="007B51A2">
        <w:rPr>
          <w:b/>
          <w:vertAlign w:val="subscript"/>
        </w:rPr>
        <w:t>0</w:t>
      </w:r>
      <w:r w:rsidRPr="007B51A2">
        <w:rPr>
          <w:b/>
        </w:rPr>
        <w:t xml:space="preserve"> </w:t>
      </w:r>
      <w:r w:rsidRPr="007B51A2">
        <w:t xml:space="preserve">: the </w:t>
      </w:r>
      <w:r w:rsidR="00220AD4" w:rsidRPr="007B51A2">
        <w:t xml:space="preserve">estimated </w:t>
      </w:r>
      <w:r w:rsidRPr="007B51A2">
        <w:t>current price or value of the stock</w:t>
      </w:r>
    </w:p>
    <w:p w14:paraId="779F0B98" w14:textId="1E714BD8" w:rsidR="00461E21" w:rsidRPr="007B51A2" w:rsidRDefault="00461E21" w:rsidP="00461E21">
      <w:pPr>
        <w:pStyle w:val="ListParagraph"/>
        <w:numPr>
          <w:ilvl w:val="0"/>
          <w:numId w:val="4"/>
        </w:numPr>
        <w:spacing w:after="0" w:line="259" w:lineRule="auto"/>
      </w:pPr>
      <w:r w:rsidRPr="007B51A2">
        <w:rPr>
          <w:b/>
        </w:rPr>
        <w:t>D</w:t>
      </w:r>
      <w:r w:rsidRPr="007B51A2">
        <w:rPr>
          <w:b/>
          <w:vertAlign w:val="subscript"/>
        </w:rPr>
        <w:t>1</w:t>
      </w:r>
      <w:r w:rsidRPr="007B51A2">
        <w:t xml:space="preserve"> : the next expected dividend to be paid</w:t>
      </w:r>
    </w:p>
    <w:p w14:paraId="61645AF2" w14:textId="77777777" w:rsidR="00461E21" w:rsidRPr="007B51A2" w:rsidRDefault="00461E21" w:rsidP="00461E21">
      <w:pPr>
        <w:pStyle w:val="ListParagraph"/>
        <w:numPr>
          <w:ilvl w:val="0"/>
          <w:numId w:val="4"/>
        </w:numPr>
        <w:spacing w:after="0" w:line="259" w:lineRule="auto"/>
      </w:pPr>
      <w:r w:rsidRPr="007B51A2">
        <w:rPr>
          <w:b/>
        </w:rPr>
        <w:t>r</w:t>
      </w:r>
      <w:r w:rsidRPr="007B51A2">
        <w:t xml:space="preserve"> : the expected or required rate of return; this is most commonly referred to as the </w:t>
      </w:r>
      <w:r w:rsidRPr="007B51A2">
        <w:rPr>
          <w:i/>
        </w:rPr>
        <w:t>discount rate</w:t>
      </w:r>
    </w:p>
    <w:p w14:paraId="6621DB35" w14:textId="77777777" w:rsidR="00461E21" w:rsidRPr="007B51A2" w:rsidRDefault="00461E21" w:rsidP="00461E21">
      <w:pPr>
        <w:pStyle w:val="ListParagraph"/>
        <w:numPr>
          <w:ilvl w:val="0"/>
          <w:numId w:val="4"/>
        </w:numPr>
        <w:spacing w:after="0" w:line="259" w:lineRule="auto"/>
      </w:pPr>
      <w:r w:rsidRPr="007B51A2">
        <w:rPr>
          <w:b/>
        </w:rPr>
        <w:t>g</w:t>
      </w:r>
      <w:r w:rsidRPr="007B51A2">
        <w:t xml:space="preserve"> :    the expected growth rate of the dividend</w:t>
      </w:r>
    </w:p>
    <w:p w14:paraId="6E71C780" w14:textId="77777777" w:rsidR="00461E21" w:rsidRPr="007B51A2" w:rsidRDefault="00461E21" w:rsidP="00F66DC9">
      <w:pPr>
        <w:spacing w:after="0" w:line="259" w:lineRule="auto"/>
      </w:pPr>
    </w:p>
    <w:p w14:paraId="7C3A5F04" w14:textId="797DE973" w:rsidR="00461E21" w:rsidRPr="007B51A2" w:rsidRDefault="00461E21" w:rsidP="00F66DC9">
      <w:pPr>
        <w:spacing w:after="0" w:line="259" w:lineRule="auto"/>
      </w:pPr>
      <w:r w:rsidRPr="007B51A2">
        <w:t>These models consider three separate scenarios: no growth, constant growth and non-constant growth.</w:t>
      </w:r>
    </w:p>
    <w:p w14:paraId="3741DBB7" w14:textId="414ABBC8" w:rsidR="00461E21" w:rsidRPr="00C62CBA" w:rsidRDefault="00461E21" w:rsidP="00C62CBA">
      <w:pPr>
        <w:pStyle w:val="ListParagraph"/>
        <w:numPr>
          <w:ilvl w:val="0"/>
          <w:numId w:val="5"/>
        </w:numPr>
        <w:spacing w:after="0" w:line="259" w:lineRule="auto"/>
        <w:rPr>
          <w:sz w:val="20"/>
          <w:szCs w:val="20"/>
        </w:rPr>
      </w:pPr>
      <w:r w:rsidRPr="007B51A2">
        <w:rPr>
          <w:b/>
        </w:rPr>
        <w:t>No Growth</w:t>
      </w:r>
      <w:r w:rsidRPr="007B51A2">
        <w:t>:</w:t>
      </w:r>
      <w:r w:rsidRPr="00C62CBA">
        <w:rPr>
          <w:sz w:val="20"/>
          <w:szCs w:val="20"/>
        </w:rPr>
        <w:t xml:space="preserve">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1</m:t>
                </m:r>
              </m:sub>
            </m:sSub>
          </m:num>
          <m:den>
            <m:r>
              <w:rPr>
                <w:rFonts w:ascii="Cambria Math" w:hAnsi="Cambria Math"/>
                <w:sz w:val="20"/>
                <w:szCs w:val="20"/>
              </w:rPr>
              <m:t>r</m:t>
            </m:r>
          </m:den>
        </m:f>
      </m:oMath>
      <w:r w:rsidRPr="00C62CBA">
        <w:rPr>
          <w:sz w:val="20"/>
          <w:szCs w:val="20"/>
        </w:rPr>
        <w:t xml:space="preserve"> </w:t>
      </w:r>
    </w:p>
    <w:p w14:paraId="617FADFD" w14:textId="55AD0D72" w:rsidR="00220AD4" w:rsidRPr="00C62CBA" w:rsidRDefault="00220AD4" w:rsidP="00C62CBA">
      <w:pPr>
        <w:pStyle w:val="ListParagraph"/>
        <w:numPr>
          <w:ilvl w:val="0"/>
          <w:numId w:val="5"/>
        </w:numPr>
        <w:spacing w:after="0" w:line="259" w:lineRule="auto"/>
        <w:rPr>
          <w:sz w:val="20"/>
          <w:szCs w:val="20"/>
        </w:rPr>
      </w:pPr>
      <w:r w:rsidRPr="007B51A2">
        <w:rPr>
          <w:b/>
        </w:rPr>
        <w:t>Constant Growth</w:t>
      </w:r>
      <w:r w:rsidRPr="007B51A2">
        <w:t>:</w:t>
      </w:r>
      <w:r w:rsidRPr="00C62CBA">
        <w:rPr>
          <w:sz w:val="20"/>
          <w:szCs w:val="20"/>
        </w:rPr>
        <w:t xml:space="preserve">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0</m:t>
                    </m:r>
                  </m:sub>
                </m:sSub>
                <m:r>
                  <w:rPr>
                    <w:rFonts w:ascii="Cambria Math" w:hAnsi="Cambria Math"/>
                    <w:sz w:val="20"/>
                    <w:szCs w:val="20"/>
                  </w:rPr>
                  <m:t xml:space="preserve"> x </m:t>
                </m:r>
                <m:sSup>
                  <m:sSupPr>
                    <m:ctrlPr>
                      <w:rPr>
                        <w:rFonts w:ascii="Cambria Math" w:hAnsi="Cambria Math"/>
                        <w:i/>
                        <w:sz w:val="20"/>
                        <w:szCs w:val="20"/>
                      </w:rPr>
                    </m:ctrlPr>
                  </m:sSupPr>
                  <m:e>
                    <m:r>
                      <w:rPr>
                        <w:rFonts w:ascii="Cambria Math" w:hAnsi="Cambria Math"/>
                        <w:sz w:val="20"/>
                        <w:szCs w:val="20"/>
                      </w:rPr>
                      <m:t>(1 + g)</m:t>
                    </m:r>
                  </m:e>
                  <m:sup>
                    <m:r>
                      <w:rPr>
                        <w:rFonts w:ascii="Cambria Math" w:hAnsi="Cambria Math"/>
                        <w:sz w:val="20"/>
                        <w:szCs w:val="20"/>
                      </w:rPr>
                      <m:t>t</m:t>
                    </m:r>
                  </m:sup>
                </m:sSup>
              </m:num>
              <m:den>
                <m:sSup>
                  <m:sSupPr>
                    <m:ctrlPr>
                      <w:rPr>
                        <w:rFonts w:ascii="Cambria Math" w:hAnsi="Cambria Math"/>
                        <w:i/>
                        <w:sz w:val="20"/>
                        <w:szCs w:val="20"/>
                      </w:rPr>
                    </m:ctrlPr>
                  </m:sSupPr>
                  <m:e>
                    <m:r>
                      <w:rPr>
                        <w:rFonts w:ascii="Cambria Math" w:hAnsi="Cambria Math"/>
                        <w:sz w:val="20"/>
                        <w:szCs w:val="20"/>
                      </w:rPr>
                      <m:t>(1 + r)</m:t>
                    </m:r>
                  </m:e>
                  <m:sup>
                    <m:r>
                      <w:rPr>
                        <w:rFonts w:ascii="Cambria Math" w:hAnsi="Cambria Math"/>
                        <w:sz w:val="20"/>
                        <w:szCs w:val="20"/>
                      </w:rPr>
                      <m:t>t</m:t>
                    </m:r>
                  </m:sup>
                </m:sSup>
              </m:den>
            </m:f>
          </m:e>
        </m:nary>
        <m:r>
          <w:rPr>
            <w:rFonts w:ascii="Cambria Math" w:eastAsiaTheme="minorEastAsia"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0</m:t>
                </m:r>
              </m:sub>
            </m:sSub>
            <m:r>
              <w:rPr>
                <w:rFonts w:ascii="Cambria Math" w:hAnsi="Cambria Math"/>
                <w:sz w:val="20"/>
                <w:szCs w:val="20"/>
              </w:rPr>
              <m:t xml:space="preserve"> x </m:t>
            </m:r>
            <m:sSup>
              <m:sSupPr>
                <m:ctrlPr>
                  <w:rPr>
                    <w:rFonts w:ascii="Cambria Math" w:hAnsi="Cambria Math"/>
                    <w:i/>
                    <w:sz w:val="20"/>
                    <w:szCs w:val="20"/>
                  </w:rPr>
                </m:ctrlPr>
              </m:sSupPr>
              <m:e>
                <m:r>
                  <w:rPr>
                    <w:rFonts w:ascii="Cambria Math" w:hAnsi="Cambria Math"/>
                    <w:sz w:val="20"/>
                    <w:szCs w:val="20"/>
                  </w:rPr>
                  <m:t>(1 + g)</m:t>
                </m:r>
              </m:e>
              <m:sup>
                <m:r>
                  <w:rPr>
                    <w:rFonts w:ascii="Cambria Math" w:hAnsi="Cambria Math"/>
                    <w:sz w:val="20"/>
                    <w:szCs w:val="20"/>
                  </w:rPr>
                  <m:t>1</m:t>
                </m:r>
              </m:sup>
            </m:sSup>
          </m:num>
          <m:den>
            <m:r>
              <w:rPr>
                <w:rFonts w:ascii="Cambria Math" w:hAnsi="Cambria Math"/>
                <w:sz w:val="20"/>
                <w:szCs w:val="20"/>
              </w:rPr>
              <m:t>r-g</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1</m:t>
                </m:r>
              </m:sub>
            </m:sSub>
          </m:num>
          <m:den>
            <m:r>
              <w:rPr>
                <w:rFonts w:ascii="Cambria Math" w:hAnsi="Cambria Math"/>
                <w:sz w:val="20"/>
                <w:szCs w:val="20"/>
              </w:rPr>
              <m:t>r-g</m:t>
            </m:r>
          </m:den>
        </m:f>
      </m:oMath>
      <w:r w:rsidRPr="00C62CBA">
        <w:rPr>
          <w:rFonts w:eastAsiaTheme="minorEastAsia"/>
          <w:sz w:val="20"/>
          <w:szCs w:val="20"/>
        </w:rPr>
        <w:t xml:space="preserve"> </w:t>
      </w:r>
      <w:r w:rsidR="00AC16E0">
        <w:rPr>
          <w:rFonts w:eastAsiaTheme="minorEastAsia"/>
          <w:sz w:val="20"/>
          <w:szCs w:val="20"/>
        </w:rPr>
        <w:t xml:space="preserve"> - also referred to as the </w:t>
      </w:r>
      <w:r w:rsidR="00AC16E0" w:rsidRPr="00AC16E0">
        <w:rPr>
          <w:rFonts w:eastAsiaTheme="minorEastAsia"/>
          <w:b/>
          <w:i/>
          <w:sz w:val="20"/>
          <w:szCs w:val="20"/>
        </w:rPr>
        <w:t>Gordon Growth Model</w:t>
      </w:r>
    </w:p>
    <w:p w14:paraId="102B2AEB" w14:textId="2D113781" w:rsidR="00B407BF" w:rsidRPr="00C62CBA" w:rsidRDefault="00C62CBA" w:rsidP="00C62CBA">
      <w:pPr>
        <w:pStyle w:val="ListParagraph"/>
        <w:numPr>
          <w:ilvl w:val="0"/>
          <w:numId w:val="5"/>
        </w:numPr>
        <w:spacing w:after="160" w:line="259" w:lineRule="auto"/>
        <w:rPr>
          <w:rFonts w:eastAsiaTheme="minorEastAsia"/>
          <w:sz w:val="20"/>
          <w:szCs w:val="20"/>
        </w:rPr>
      </w:pPr>
      <w:r w:rsidRPr="007B51A2">
        <w:rPr>
          <w:b/>
        </w:rPr>
        <w:t>Non-Constant Growth</w:t>
      </w:r>
      <w:r w:rsidRPr="007B51A2">
        <w:t>:</w:t>
      </w:r>
      <w:r w:rsidRPr="00C62CBA">
        <w:rPr>
          <w:sz w:val="20"/>
          <w:szCs w:val="20"/>
        </w:rPr>
        <w:t xml:space="preserve">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m:t>
                    </m:r>
                  </m:sub>
                </m:sSub>
                <m:r>
                  <w:rPr>
                    <w:rFonts w:ascii="Cambria Math" w:hAnsi="Cambria Math"/>
                    <w:sz w:val="20"/>
                    <w:szCs w:val="20"/>
                  </w:rPr>
                  <m:t xml:space="preserve"> </m:t>
                </m:r>
              </m:num>
              <m:den>
                <m:sSup>
                  <m:sSupPr>
                    <m:ctrlPr>
                      <w:rPr>
                        <w:rFonts w:ascii="Cambria Math" w:hAnsi="Cambria Math"/>
                        <w:i/>
                        <w:sz w:val="20"/>
                        <w:szCs w:val="20"/>
                      </w:rPr>
                    </m:ctrlPr>
                  </m:sSupPr>
                  <m:e>
                    <m:r>
                      <w:rPr>
                        <w:rFonts w:ascii="Cambria Math" w:hAnsi="Cambria Math"/>
                        <w:sz w:val="20"/>
                        <w:szCs w:val="20"/>
                      </w:rPr>
                      <m:t>(1 + r)</m:t>
                    </m:r>
                  </m:e>
                  <m:sup>
                    <m:r>
                      <w:rPr>
                        <w:rFonts w:ascii="Cambria Math" w:hAnsi="Cambria Math"/>
                        <w:sz w:val="20"/>
                        <w:szCs w:val="20"/>
                      </w:rPr>
                      <m:t>t</m:t>
                    </m:r>
                  </m:sup>
                </m:sSup>
              </m:den>
            </m:f>
          </m:e>
        </m:nary>
      </m:oMath>
    </w:p>
    <w:p w14:paraId="45BB79C2" w14:textId="112A9EBA" w:rsidR="00AC16E0" w:rsidRDefault="00AC16E0" w:rsidP="00524CEA">
      <w:pPr>
        <w:spacing w:after="160" w:line="259" w:lineRule="auto"/>
        <w:rPr>
          <w:rFonts w:eastAsiaTheme="minorEastAsia"/>
          <w:b/>
          <w:sz w:val="20"/>
          <w:szCs w:val="20"/>
        </w:rPr>
      </w:pPr>
    </w:p>
    <w:p w14:paraId="2B180DF4" w14:textId="5A4C8FDE" w:rsidR="00C01438" w:rsidRPr="00C01438" w:rsidRDefault="00C01438" w:rsidP="00524CEA">
      <w:pPr>
        <w:spacing w:after="160" w:line="259" w:lineRule="auto"/>
        <w:rPr>
          <w:rFonts w:eastAsiaTheme="minorEastAsia"/>
          <w:b/>
          <w:sz w:val="24"/>
          <w:szCs w:val="24"/>
          <w:u w:val="single"/>
        </w:rPr>
      </w:pPr>
      <w:r w:rsidRPr="00C01438">
        <w:rPr>
          <w:rFonts w:eastAsiaTheme="minorEastAsia"/>
          <w:b/>
          <w:sz w:val="24"/>
          <w:szCs w:val="24"/>
          <w:u w:val="single"/>
        </w:rPr>
        <w:t>Using the firm’s cash flow to estimate the value of the firm and its equity shares</w:t>
      </w:r>
    </w:p>
    <w:p w14:paraId="0CE53ED2" w14:textId="24A5170B" w:rsidR="00C01438" w:rsidRPr="007B51A2" w:rsidRDefault="00AC16E0" w:rsidP="00524CEA">
      <w:pPr>
        <w:spacing w:after="160" w:line="259" w:lineRule="auto"/>
        <w:rPr>
          <w:rFonts w:eastAsiaTheme="minorEastAsia" w:cstheme="minorHAnsi"/>
        </w:rPr>
      </w:pPr>
      <w:r w:rsidRPr="007B51A2">
        <w:rPr>
          <w:rFonts w:eastAsiaTheme="minorEastAsia" w:cstheme="minorHAnsi"/>
        </w:rPr>
        <w:t xml:space="preserve">Each of </w:t>
      </w:r>
      <w:r w:rsidR="00C01438" w:rsidRPr="007B51A2">
        <w:rPr>
          <w:rFonts w:eastAsiaTheme="minorEastAsia" w:cstheme="minorHAnsi"/>
        </w:rPr>
        <w:t xml:space="preserve">forms of the dividend </w:t>
      </w:r>
      <w:r w:rsidRPr="007B51A2">
        <w:rPr>
          <w:rFonts w:eastAsiaTheme="minorEastAsia" w:cstheme="minorHAnsi"/>
        </w:rPr>
        <w:t xml:space="preserve">models may be extended to include the firm’s cash flow rather than using a dividend that may or may not be </w:t>
      </w:r>
      <w:r w:rsidR="00C01438" w:rsidRPr="007B51A2">
        <w:rPr>
          <w:rFonts w:eastAsiaTheme="minorEastAsia" w:cstheme="minorHAnsi"/>
        </w:rPr>
        <w:t xml:space="preserve">declared or </w:t>
      </w:r>
      <w:r w:rsidRPr="007B51A2">
        <w:rPr>
          <w:rFonts w:eastAsiaTheme="minorEastAsia" w:cstheme="minorHAnsi"/>
        </w:rPr>
        <w:t>paid</w:t>
      </w:r>
      <w:r w:rsidR="00C01438" w:rsidRPr="007B51A2">
        <w:rPr>
          <w:rFonts w:eastAsiaTheme="minorEastAsia" w:cstheme="minorHAnsi"/>
        </w:rPr>
        <w:t xml:space="preserve"> by the firm’s board</w:t>
      </w:r>
      <w:r w:rsidRPr="007B51A2">
        <w:rPr>
          <w:rFonts w:eastAsiaTheme="minorEastAsia" w:cstheme="minorHAnsi"/>
        </w:rPr>
        <w:t>.  The use of the firm’s cash flow provides for a more robust and holistic valuation of the firm and its stock with the aid of the Enterprise Value equation</w:t>
      </w:r>
      <w:r w:rsidR="00C01438" w:rsidRPr="007B51A2">
        <w:rPr>
          <w:rFonts w:eastAsiaTheme="minorEastAsia" w:cstheme="minorHAnsi"/>
        </w:rPr>
        <w:t xml:space="preserve"> in which </w:t>
      </w:r>
      <w:r w:rsidRPr="007B51A2">
        <w:rPr>
          <w:rFonts w:eastAsiaTheme="minorEastAsia" w:cstheme="minorHAnsi"/>
        </w:rPr>
        <w:t>EV = Common + Preferred + Debt – Cash.</w:t>
      </w:r>
      <w:r w:rsidR="00C01438" w:rsidRPr="007B51A2">
        <w:rPr>
          <w:rFonts w:eastAsiaTheme="minorEastAsia" w:cstheme="minorHAnsi"/>
        </w:rPr>
        <w:t xml:space="preserve">  </w:t>
      </w:r>
    </w:p>
    <w:p w14:paraId="7BA9FDC1" w14:textId="77777777" w:rsidR="00791249" w:rsidRPr="007B51A2" w:rsidRDefault="00C01438" w:rsidP="00524CEA">
      <w:pPr>
        <w:spacing w:after="160" w:line="259" w:lineRule="auto"/>
        <w:rPr>
          <w:rFonts w:eastAsiaTheme="minorEastAsia" w:cstheme="minorHAnsi"/>
        </w:rPr>
      </w:pPr>
      <w:r w:rsidRPr="007B51A2">
        <w:rPr>
          <w:rFonts w:eastAsiaTheme="minorEastAsia" w:cstheme="minorHAnsi"/>
        </w:rPr>
        <w:t>When we use the firm’s Cash Flow and accept that r is the opportunity cost of capital investment in a firm, aka the discount rate</w:t>
      </w:r>
      <w:r w:rsidR="00791249" w:rsidRPr="007B51A2">
        <w:rPr>
          <w:rFonts w:eastAsiaTheme="minorEastAsia" w:cstheme="minorHAnsi"/>
        </w:rPr>
        <w:t>, the result is the dividend models become Discounted Cash Flow models and P</w:t>
      </w:r>
      <w:r w:rsidR="00791249" w:rsidRPr="007B51A2">
        <w:rPr>
          <w:rFonts w:eastAsiaTheme="minorEastAsia" w:cstheme="minorHAnsi"/>
          <w:vertAlign w:val="subscript"/>
        </w:rPr>
        <w:t>0</w:t>
      </w:r>
      <w:r w:rsidR="00791249" w:rsidRPr="007B51A2">
        <w:rPr>
          <w:rFonts w:eastAsiaTheme="minorEastAsia" w:cstheme="minorHAnsi"/>
        </w:rPr>
        <w:t xml:space="preserve"> becomes the estimated present value of the firm and is synonymous with the firm’s estimated Enterprise Value.  We can then use the estimated Enterprise Value in the EV equation and substitute in the values of the firm’s debt and cash based on data found in the Balance Sheet and debt value calculations such that we’re left with an estimated value of the firm’s equity as follows:</w:t>
      </w:r>
    </w:p>
    <w:p w14:paraId="3965F22A" w14:textId="582BE3BE" w:rsidR="00791249" w:rsidRPr="007B51A2" w:rsidRDefault="00791249" w:rsidP="00791249">
      <w:pPr>
        <w:spacing w:after="160" w:line="259" w:lineRule="auto"/>
        <w:ind w:left="720"/>
        <w:rPr>
          <w:rFonts w:eastAsiaTheme="minorEastAsia" w:cstheme="minorHAnsi"/>
        </w:rPr>
      </w:pPr>
      <w:r w:rsidRPr="007B51A2">
        <w:rPr>
          <w:rFonts w:eastAsiaTheme="minorEastAsia" w:cstheme="minorHAnsi"/>
        </w:rPr>
        <w:t>EV = Common + Preferred + Debt – Cash</w:t>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007B51A2">
        <w:rPr>
          <w:rFonts w:eastAsiaTheme="minorEastAsia" w:cstheme="minorHAnsi"/>
        </w:rPr>
        <w:tab/>
      </w:r>
      <w:r w:rsidRPr="007B51A2">
        <w:rPr>
          <w:rFonts w:eastAsiaTheme="minorEastAsia" w:cstheme="minorHAnsi"/>
        </w:rPr>
        <w:t>(1)</w:t>
      </w:r>
    </w:p>
    <w:p w14:paraId="1C7DBE4B" w14:textId="568C62E6" w:rsidR="00791249" w:rsidRPr="007B51A2" w:rsidRDefault="00791249" w:rsidP="00791249">
      <w:pPr>
        <w:spacing w:after="160" w:line="259" w:lineRule="auto"/>
        <w:ind w:left="720"/>
        <w:rPr>
          <w:rFonts w:eastAsiaTheme="minorEastAsia" w:cstheme="minorHAnsi"/>
        </w:rPr>
      </w:pPr>
      <w:r w:rsidRPr="007B51A2">
        <w:rPr>
          <w:rFonts w:eastAsiaTheme="minorEastAsia" w:cstheme="minorHAnsi"/>
        </w:rPr>
        <w:t>Common + Preferred = Equity</w:t>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007B51A2">
        <w:rPr>
          <w:rFonts w:eastAsiaTheme="minorEastAsia" w:cstheme="minorHAnsi"/>
        </w:rPr>
        <w:tab/>
      </w:r>
      <w:r w:rsidRPr="007B51A2">
        <w:rPr>
          <w:rFonts w:eastAsiaTheme="minorEastAsia" w:cstheme="minorHAnsi"/>
        </w:rPr>
        <w:t>(2)</w:t>
      </w:r>
    </w:p>
    <w:p w14:paraId="19C4C28C" w14:textId="27EEC9FD" w:rsidR="00791249" w:rsidRPr="007B51A2" w:rsidRDefault="00791249" w:rsidP="00791249">
      <w:pPr>
        <w:spacing w:after="160" w:line="259" w:lineRule="auto"/>
        <w:ind w:left="720"/>
        <w:rPr>
          <w:rFonts w:eastAsiaTheme="minorEastAsia" w:cstheme="minorHAnsi"/>
        </w:rPr>
      </w:pPr>
      <w:r w:rsidRPr="007B51A2">
        <w:rPr>
          <w:rFonts w:eastAsiaTheme="minorEastAsia" w:cstheme="minorHAnsi"/>
        </w:rPr>
        <w:t>EV = Equity + Debt – Cash</w:t>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t>(3)</w:t>
      </w:r>
    </w:p>
    <w:p w14:paraId="18BAF3A8" w14:textId="3E50F3A2" w:rsidR="00791249" w:rsidRPr="007B51A2" w:rsidRDefault="00791249" w:rsidP="00791249">
      <w:pPr>
        <w:spacing w:after="160" w:line="259" w:lineRule="auto"/>
        <w:ind w:left="720"/>
        <w:rPr>
          <w:rFonts w:eastAsiaTheme="minorEastAsia" w:cstheme="minorHAnsi"/>
          <w:i/>
        </w:rPr>
      </w:pPr>
      <w:r w:rsidRPr="007B51A2">
        <w:rPr>
          <w:rFonts w:eastAsiaTheme="minorEastAsia" w:cstheme="minorHAnsi"/>
          <w:i/>
        </w:rPr>
        <w:t>Substitute into (3) known and estimated values for EV, Debt and Cash and solve for Equity</w:t>
      </w:r>
      <w:r w:rsidRPr="007B51A2">
        <w:rPr>
          <w:rFonts w:eastAsiaTheme="minorEastAsia" w:cstheme="minorHAnsi"/>
          <w:i/>
        </w:rPr>
        <w:tab/>
      </w:r>
    </w:p>
    <w:p w14:paraId="03858F0B" w14:textId="3D832F0D" w:rsidR="00791249" w:rsidRPr="007B51A2" w:rsidRDefault="00791249" w:rsidP="00791249">
      <w:pPr>
        <w:spacing w:after="160" w:line="259" w:lineRule="auto"/>
        <w:ind w:left="720"/>
        <w:rPr>
          <w:rFonts w:eastAsiaTheme="minorEastAsia" w:cstheme="minorHAnsi"/>
        </w:rPr>
      </w:pPr>
      <w:r w:rsidRPr="007B51A2">
        <w:rPr>
          <w:rFonts w:eastAsiaTheme="minorEastAsia" w:cstheme="minorHAnsi"/>
        </w:rPr>
        <w:t>Equity = EV – Debt + Cash</w:t>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r>
      <w:r w:rsidRPr="007B51A2">
        <w:rPr>
          <w:rFonts w:eastAsiaTheme="minorEastAsia" w:cstheme="minorHAnsi"/>
        </w:rPr>
        <w:tab/>
        <w:t>(4)</w:t>
      </w:r>
    </w:p>
    <w:p w14:paraId="79E83BF0" w14:textId="6BB78206" w:rsidR="00791249" w:rsidRPr="007B51A2" w:rsidRDefault="00791249" w:rsidP="00524CEA">
      <w:pPr>
        <w:spacing w:after="160" w:line="259" w:lineRule="auto"/>
        <w:rPr>
          <w:rFonts w:eastAsiaTheme="minorEastAsia" w:cstheme="minorHAnsi"/>
        </w:rPr>
      </w:pPr>
      <w:r w:rsidRPr="007B51A2">
        <w:rPr>
          <w:rFonts w:eastAsiaTheme="minorEastAsia" w:cstheme="minorHAnsi"/>
        </w:rPr>
        <w:t>If we know the number of equity shares outstanding and the relationship between common and preferred equity, often expressed as a conversion ratio, we can then calculate the value of the firm’s common stock as shown in the following example.</w:t>
      </w:r>
    </w:p>
    <w:p w14:paraId="7A042061" w14:textId="562D8584" w:rsidR="0082618F" w:rsidRPr="007B51A2" w:rsidRDefault="0082618F" w:rsidP="0082618F">
      <w:pPr>
        <w:spacing w:after="160" w:line="259" w:lineRule="auto"/>
        <w:ind w:left="720"/>
        <w:rPr>
          <w:rFonts w:eastAsiaTheme="minorEastAsia" w:cstheme="minorHAnsi"/>
          <w:b/>
        </w:rPr>
      </w:pPr>
      <w:r w:rsidRPr="007B51A2">
        <w:rPr>
          <w:rFonts w:eastAsiaTheme="minorEastAsia" w:cstheme="minorHAnsi"/>
          <w:b/>
        </w:rPr>
        <w:t>Assumptions:</w:t>
      </w:r>
    </w:p>
    <w:p w14:paraId="2B68042D" w14:textId="4A0CD011" w:rsidR="0082618F" w:rsidRPr="007B51A2" w:rsidRDefault="0082618F" w:rsidP="0082618F">
      <w:pPr>
        <w:spacing w:after="160" w:line="259" w:lineRule="auto"/>
        <w:ind w:left="720"/>
        <w:rPr>
          <w:rFonts w:eastAsiaTheme="minorEastAsia" w:cstheme="minorHAnsi"/>
        </w:rPr>
      </w:pPr>
      <w:r w:rsidRPr="007B51A2">
        <w:rPr>
          <w:rFonts w:eastAsiaTheme="minorEastAsia" w:cstheme="minorHAnsi"/>
        </w:rPr>
        <w:t xml:space="preserve">Estimated Enterprise Value </w:t>
      </w:r>
      <w:r w:rsidRPr="007B51A2">
        <w:rPr>
          <w:rFonts w:eastAsiaTheme="minorEastAsia" w:cstheme="minorHAnsi"/>
        </w:rPr>
        <w:tab/>
        <w:t>= $1,000</w:t>
      </w:r>
      <w:r w:rsidRPr="007B51A2">
        <w:rPr>
          <w:rFonts w:eastAsiaTheme="minorEastAsia" w:cstheme="minorHAnsi"/>
        </w:rPr>
        <w:tab/>
        <w:t>Outstanding Common Shares</w:t>
      </w:r>
      <w:r w:rsidRPr="007B51A2">
        <w:rPr>
          <w:rFonts w:eastAsiaTheme="minorEastAsia" w:cstheme="minorHAnsi"/>
        </w:rPr>
        <w:tab/>
      </w:r>
      <w:r w:rsidRPr="007B51A2">
        <w:rPr>
          <w:rFonts w:eastAsiaTheme="minorEastAsia" w:cstheme="minorHAnsi"/>
        </w:rPr>
        <w:tab/>
        <w:t>=  1,000</w:t>
      </w:r>
    </w:p>
    <w:p w14:paraId="4CF08D88" w14:textId="63DCD3F2" w:rsidR="0082618F" w:rsidRPr="007B51A2" w:rsidRDefault="0082618F" w:rsidP="0082618F">
      <w:pPr>
        <w:spacing w:after="160" w:line="259" w:lineRule="auto"/>
        <w:ind w:left="720"/>
        <w:rPr>
          <w:rFonts w:eastAsiaTheme="minorEastAsia" w:cstheme="minorHAnsi"/>
        </w:rPr>
      </w:pPr>
      <w:r w:rsidRPr="007B51A2">
        <w:rPr>
          <w:rFonts w:eastAsiaTheme="minorEastAsia" w:cstheme="minorHAnsi"/>
        </w:rPr>
        <w:t xml:space="preserve">Debt (Balance Sheet) </w:t>
      </w:r>
      <w:r w:rsidRPr="007B51A2">
        <w:rPr>
          <w:rFonts w:eastAsiaTheme="minorEastAsia" w:cstheme="minorHAnsi"/>
        </w:rPr>
        <w:tab/>
      </w:r>
      <w:r w:rsidRPr="007B51A2">
        <w:rPr>
          <w:rFonts w:eastAsiaTheme="minorEastAsia" w:cstheme="minorHAnsi"/>
        </w:rPr>
        <w:tab/>
        <w:t>=    $200</w:t>
      </w:r>
      <w:r w:rsidRPr="007B51A2">
        <w:rPr>
          <w:rFonts w:eastAsiaTheme="minorEastAsia" w:cstheme="minorHAnsi"/>
        </w:rPr>
        <w:tab/>
        <w:t>Outstanding Preferred Shares</w:t>
      </w:r>
      <w:r w:rsidRPr="007B51A2">
        <w:rPr>
          <w:rFonts w:eastAsiaTheme="minorEastAsia" w:cstheme="minorHAnsi"/>
        </w:rPr>
        <w:tab/>
      </w:r>
      <w:r w:rsidRPr="007B51A2">
        <w:rPr>
          <w:rFonts w:eastAsiaTheme="minorEastAsia" w:cstheme="minorHAnsi"/>
        </w:rPr>
        <w:tab/>
        <w:t>=     100</w:t>
      </w:r>
    </w:p>
    <w:p w14:paraId="0A088A32" w14:textId="6488E351" w:rsidR="0082618F" w:rsidRPr="007B51A2" w:rsidRDefault="0082618F" w:rsidP="0082618F">
      <w:pPr>
        <w:spacing w:after="160" w:line="259" w:lineRule="auto"/>
        <w:ind w:left="720"/>
        <w:rPr>
          <w:rFonts w:eastAsiaTheme="minorEastAsia" w:cstheme="minorHAnsi"/>
        </w:rPr>
      </w:pPr>
      <w:r w:rsidRPr="007B51A2">
        <w:rPr>
          <w:rFonts w:eastAsiaTheme="minorEastAsia" w:cstheme="minorHAnsi"/>
        </w:rPr>
        <w:t xml:space="preserve">Cash (Balance Sheet) </w:t>
      </w:r>
      <w:r w:rsidRPr="007B51A2">
        <w:rPr>
          <w:rFonts w:eastAsiaTheme="minorEastAsia" w:cstheme="minorHAnsi"/>
        </w:rPr>
        <w:tab/>
      </w:r>
      <w:r w:rsidRPr="007B51A2">
        <w:rPr>
          <w:rFonts w:eastAsiaTheme="minorEastAsia" w:cstheme="minorHAnsi"/>
        </w:rPr>
        <w:tab/>
        <w:t>=      $50</w:t>
      </w:r>
      <w:r w:rsidRPr="007B51A2">
        <w:rPr>
          <w:rFonts w:eastAsiaTheme="minorEastAsia" w:cstheme="minorHAnsi"/>
        </w:rPr>
        <w:tab/>
        <w:t>Conversion Ratio (Pref to Common)</w:t>
      </w:r>
      <w:r w:rsidRPr="007B51A2">
        <w:rPr>
          <w:rFonts w:eastAsiaTheme="minorEastAsia" w:cstheme="minorHAnsi"/>
        </w:rPr>
        <w:tab/>
        <w:t xml:space="preserve">         2:1</w:t>
      </w:r>
    </w:p>
    <w:p w14:paraId="2F33E6D3" w14:textId="77777777" w:rsidR="00BF1ED1" w:rsidRDefault="00BF1ED1">
      <w:pPr>
        <w:spacing w:after="160" w:line="259" w:lineRule="auto"/>
        <w:rPr>
          <w:rFonts w:eastAsiaTheme="minorEastAsia" w:cstheme="minorHAnsi"/>
        </w:rPr>
      </w:pPr>
      <w:r>
        <w:rPr>
          <w:rFonts w:eastAsiaTheme="minorEastAsia" w:cstheme="minorHAnsi"/>
        </w:rPr>
        <w:br w:type="page"/>
      </w:r>
    </w:p>
    <w:p w14:paraId="4B156FAA" w14:textId="6632354E" w:rsidR="0082618F" w:rsidRPr="007B51A2" w:rsidRDefault="0082618F" w:rsidP="00524CEA">
      <w:pPr>
        <w:spacing w:after="160" w:line="259" w:lineRule="auto"/>
        <w:rPr>
          <w:rFonts w:eastAsiaTheme="minorEastAsia" w:cstheme="minorHAnsi"/>
        </w:rPr>
      </w:pPr>
      <w:r w:rsidRPr="007B51A2">
        <w:rPr>
          <w:rFonts w:eastAsiaTheme="minorEastAsia" w:cstheme="minorHAnsi"/>
        </w:rPr>
        <w:lastRenderedPageBreak/>
        <w:t>This results in the preferred shares being equivalent to 50 shares of common (2 preferred shares can convert to 1 common share) and the total number of equivalent shares of common after the conversion is 1,050.</w:t>
      </w:r>
    </w:p>
    <w:p w14:paraId="1E81B7B2" w14:textId="77777777" w:rsidR="0082618F" w:rsidRPr="007B51A2" w:rsidRDefault="0082618F" w:rsidP="0084753D">
      <w:pPr>
        <w:spacing w:after="160" w:line="259" w:lineRule="auto"/>
        <w:ind w:left="720" w:firstLine="720"/>
        <w:rPr>
          <w:rFonts w:eastAsiaTheme="minorEastAsia" w:cstheme="minorHAnsi"/>
          <w:i/>
        </w:rPr>
      </w:pPr>
      <w:r w:rsidRPr="007B51A2">
        <w:rPr>
          <w:rFonts w:eastAsiaTheme="minorEastAsia" w:cstheme="minorHAnsi"/>
          <w:i/>
        </w:rPr>
        <w:t>Substitute into (4) the given values</w:t>
      </w:r>
    </w:p>
    <w:p w14:paraId="6D2C2192" w14:textId="7D69A78A" w:rsidR="0082618F" w:rsidRPr="007B51A2" w:rsidRDefault="0082618F" w:rsidP="007B51A2">
      <w:pPr>
        <w:spacing w:after="160" w:line="259" w:lineRule="auto"/>
        <w:ind w:left="720"/>
        <w:rPr>
          <w:rFonts w:eastAsiaTheme="minorEastAsia" w:cstheme="minorHAnsi"/>
        </w:rPr>
      </w:pPr>
      <w:r w:rsidRPr="007B51A2">
        <w:rPr>
          <w:rFonts w:eastAsiaTheme="minorEastAsia" w:cstheme="minorHAnsi"/>
        </w:rPr>
        <w:t>Equity  = $1,000 - $200 + $50 = $</w:t>
      </w:r>
      <w:r w:rsidR="00F46435" w:rsidRPr="007B51A2">
        <w:rPr>
          <w:rFonts w:eastAsiaTheme="minorEastAsia" w:cstheme="minorHAnsi"/>
        </w:rPr>
        <w:t>8</w:t>
      </w:r>
      <w:r w:rsidRPr="007B51A2">
        <w:rPr>
          <w:rFonts w:eastAsiaTheme="minorEastAsia" w:cstheme="minorHAnsi"/>
        </w:rPr>
        <w:t>50</w:t>
      </w:r>
    </w:p>
    <w:p w14:paraId="4E808886" w14:textId="77777777" w:rsidR="0082618F" w:rsidRPr="007B51A2" w:rsidRDefault="0082618F" w:rsidP="0084753D">
      <w:pPr>
        <w:spacing w:after="160" w:line="259" w:lineRule="auto"/>
        <w:ind w:left="720" w:firstLine="720"/>
        <w:rPr>
          <w:rFonts w:eastAsiaTheme="minorEastAsia" w:cstheme="minorHAnsi"/>
          <w:i/>
        </w:rPr>
      </w:pPr>
      <w:r w:rsidRPr="007B51A2">
        <w:rPr>
          <w:rFonts w:eastAsiaTheme="minorEastAsia" w:cstheme="minorHAnsi"/>
          <w:i/>
        </w:rPr>
        <w:t>Divide by number of equivalent common shares</w:t>
      </w:r>
    </w:p>
    <w:p w14:paraId="7EA4478C" w14:textId="207EB6CC" w:rsidR="00E840A9" w:rsidRPr="007B51A2" w:rsidRDefault="00E840A9" w:rsidP="007B51A2">
      <w:pPr>
        <w:spacing w:after="160" w:line="259" w:lineRule="auto"/>
        <w:ind w:left="720"/>
        <w:rPr>
          <w:rFonts w:eastAsiaTheme="minorEastAsia" w:cstheme="minorHAnsi"/>
        </w:rPr>
      </w:pPr>
      <w:r w:rsidRPr="007B51A2">
        <w:rPr>
          <w:rFonts w:eastAsiaTheme="minorEastAsia" w:cstheme="minorHAnsi"/>
        </w:rPr>
        <w:t xml:space="preserve">Common </w:t>
      </w:r>
      <w:r w:rsidR="0082618F" w:rsidRPr="007B51A2">
        <w:rPr>
          <w:rFonts w:eastAsiaTheme="minorEastAsia" w:cstheme="minorHAnsi"/>
        </w:rPr>
        <w:t xml:space="preserve">Equity per Share = </w:t>
      </w:r>
      <m:oMath>
        <m:f>
          <m:fPr>
            <m:ctrlPr>
              <w:rPr>
                <w:rFonts w:ascii="Cambria Math" w:eastAsiaTheme="minorEastAsia" w:hAnsi="Cambria Math" w:cstheme="minorHAnsi"/>
                <w:i/>
              </w:rPr>
            </m:ctrlPr>
          </m:fPr>
          <m:num>
            <m:r>
              <w:rPr>
                <w:rFonts w:ascii="Cambria Math" w:eastAsiaTheme="minorEastAsia" w:hAnsi="Cambria Math" w:cstheme="minorHAnsi"/>
              </w:rPr>
              <m:t>$850</m:t>
            </m:r>
          </m:num>
          <m:den>
            <m:r>
              <w:rPr>
                <w:rFonts w:ascii="Cambria Math" w:eastAsiaTheme="minorEastAsia" w:hAnsi="Cambria Math" w:cstheme="minorHAnsi"/>
              </w:rPr>
              <m:t>1,050</m:t>
            </m:r>
          </m:den>
        </m:f>
        <m:r>
          <w:rPr>
            <w:rFonts w:ascii="Cambria Math" w:eastAsiaTheme="minorEastAsia" w:hAnsi="Cambria Math" w:cstheme="minorHAnsi"/>
          </w:rPr>
          <m:t>=$0.8095</m:t>
        </m:r>
      </m:oMath>
      <w:r w:rsidRPr="007B51A2">
        <w:rPr>
          <w:rFonts w:eastAsiaTheme="minorEastAsia" w:cstheme="minorHAnsi"/>
        </w:rPr>
        <w:t xml:space="preserve">  rounded to four places</w:t>
      </w:r>
    </w:p>
    <w:p w14:paraId="50B31669" w14:textId="56535F79" w:rsidR="00F46435" w:rsidRPr="007B51A2" w:rsidRDefault="00F46435" w:rsidP="0084753D">
      <w:pPr>
        <w:spacing w:after="160" w:line="259" w:lineRule="auto"/>
        <w:ind w:left="720" w:firstLine="720"/>
        <w:rPr>
          <w:rFonts w:eastAsiaTheme="minorEastAsia" w:cstheme="minorHAnsi"/>
          <w:i/>
        </w:rPr>
      </w:pPr>
      <w:r w:rsidRPr="007B51A2">
        <w:rPr>
          <w:rFonts w:eastAsiaTheme="minorEastAsia" w:cstheme="minorHAnsi"/>
          <w:i/>
        </w:rPr>
        <w:t>Multiply by Common shares outstanding</w:t>
      </w:r>
    </w:p>
    <w:p w14:paraId="6E471CBE" w14:textId="09542C80" w:rsidR="00B407BF" w:rsidRPr="007B51A2" w:rsidRDefault="00E840A9" w:rsidP="007B51A2">
      <w:pPr>
        <w:spacing w:after="160" w:line="259" w:lineRule="auto"/>
        <w:ind w:left="720"/>
        <w:rPr>
          <w:rFonts w:eastAsiaTheme="minorEastAsia" w:cstheme="minorHAnsi"/>
        </w:rPr>
      </w:pPr>
      <w:r w:rsidRPr="007B51A2">
        <w:rPr>
          <w:rFonts w:eastAsiaTheme="minorEastAsia" w:cstheme="minorHAnsi"/>
        </w:rPr>
        <w:t>Total value of Common Equity = $0.</w:t>
      </w:r>
      <w:r w:rsidR="00F46435" w:rsidRPr="007B51A2">
        <w:rPr>
          <w:rFonts w:eastAsiaTheme="minorEastAsia" w:cstheme="minorHAnsi"/>
        </w:rPr>
        <w:t>8095</w:t>
      </w:r>
      <w:r w:rsidRPr="007B51A2">
        <w:rPr>
          <w:rFonts w:eastAsiaTheme="minorEastAsia" w:cstheme="minorHAnsi"/>
        </w:rPr>
        <w:t xml:space="preserve"> x 1,000 = $</w:t>
      </w:r>
      <w:r w:rsidR="00F46435" w:rsidRPr="007B51A2">
        <w:rPr>
          <w:rFonts w:eastAsiaTheme="minorEastAsia" w:cstheme="minorHAnsi"/>
        </w:rPr>
        <w:t>809.50</w:t>
      </w:r>
      <w:r w:rsidR="0082618F" w:rsidRPr="007B51A2">
        <w:rPr>
          <w:rFonts w:eastAsiaTheme="minorEastAsia" w:cstheme="minorHAnsi"/>
        </w:rPr>
        <w:t xml:space="preserve"> </w:t>
      </w:r>
      <w:r w:rsidR="00AC16E0" w:rsidRPr="007B51A2">
        <w:rPr>
          <w:rFonts w:cstheme="minorHAnsi"/>
          <w:b/>
        </w:rPr>
        <w:t xml:space="preserve"> </w:t>
      </w:r>
    </w:p>
    <w:p w14:paraId="53AD0C47" w14:textId="0A1B2336" w:rsidR="0003223E" w:rsidRPr="007B51A2" w:rsidRDefault="00E840A9" w:rsidP="0084753D">
      <w:pPr>
        <w:spacing w:after="160" w:line="259" w:lineRule="auto"/>
        <w:ind w:left="720" w:firstLine="720"/>
        <w:rPr>
          <w:rFonts w:cstheme="minorHAnsi"/>
          <w:i/>
        </w:rPr>
      </w:pPr>
      <w:r w:rsidRPr="007B51A2">
        <w:rPr>
          <w:rFonts w:cstheme="minorHAnsi"/>
          <w:i/>
        </w:rPr>
        <w:t>Divide Common Equity per Share by Preferred to Common Conversion Ratio</w:t>
      </w:r>
    </w:p>
    <w:p w14:paraId="2F1B81D7" w14:textId="34E87A6A" w:rsidR="00F46435" w:rsidRPr="007B51A2" w:rsidRDefault="00F46435" w:rsidP="007B51A2">
      <w:pPr>
        <w:spacing w:after="160" w:line="259" w:lineRule="auto"/>
        <w:ind w:left="720"/>
        <w:rPr>
          <w:rFonts w:eastAsiaTheme="minorEastAsia" w:cstheme="minorHAnsi"/>
        </w:rPr>
      </w:pPr>
      <w:r w:rsidRPr="007B51A2">
        <w:rPr>
          <w:rFonts w:eastAsiaTheme="minorEastAsia" w:cstheme="minorHAnsi"/>
        </w:rPr>
        <w:t xml:space="preserve">Preferred Equity per Share = </w:t>
      </w:r>
      <m:oMath>
        <m:f>
          <m:fPr>
            <m:ctrlPr>
              <w:rPr>
                <w:rFonts w:ascii="Cambria Math" w:hAnsi="Cambria Math" w:cstheme="minorHAnsi"/>
                <w:i/>
              </w:rPr>
            </m:ctrlPr>
          </m:fPr>
          <m:num>
            <m:r>
              <w:rPr>
                <w:rFonts w:ascii="Cambria Math" w:hAnsi="Cambria Math" w:cstheme="minorHAnsi"/>
              </w:rPr>
              <m:t>$0.8095</m:t>
            </m:r>
          </m:num>
          <m:den>
            <m:r>
              <w:rPr>
                <w:rFonts w:ascii="Cambria Math" w:hAnsi="Cambria Math" w:cstheme="minorHAnsi"/>
              </w:rPr>
              <m:t>2</m:t>
            </m:r>
          </m:den>
        </m:f>
      </m:oMath>
      <w:r w:rsidR="00E840A9" w:rsidRPr="007B51A2">
        <w:rPr>
          <w:rFonts w:eastAsiaTheme="minorEastAsia" w:cstheme="minorHAnsi"/>
        </w:rPr>
        <w:t xml:space="preserve"> =  $0.</w:t>
      </w:r>
      <w:r w:rsidRPr="007B51A2">
        <w:rPr>
          <w:rFonts w:eastAsiaTheme="minorEastAsia" w:cstheme="minorHAnsi"/>
        </w:rPr>
        <w:t>4048</w:t>
      </w:r>
      <w:r w:rsidR="00E840A9" w:rsidRPr="007B51A2">
        <w:rPr>
          <w:rFonts w:eastAsiaTheme="minorEastAsia" w:cstheme="minorHAnsi"/>
        </w:rPr>
        <w:t xml:space="preserve"> </w:t>
      </w:r>
    </w:p>
    <w:p w14:paraId="7E0B0EE2" w14:textId="77777777" w:rsidR="00F46435" w:rsidRPr="0084753D" w:rsidRDefault="00F46435" w:rsidP="0084753D">
      <w:pPr>
        <w:spacing w:after="160" w:line="259" w:lineRule="auto"/>
        <w:ind w:left="720" w:firstLine="720"/>
        <w:rPr>
          <w:rFonts w:eastAsiaTheme="minorEastAsia" w:cstheme="minorHAnsi"/>
          <w:i/>
        </w:rPr>
      </w:pPr>
      <w:r w:rsidRPr="0084753D">
        <w:rPr>
          <w:rFonts w:eastAsiaTheme="minorEastAsia" w:cstheme="minorHAnsi"/>
          <w:i/>
        </w:rPr>
        <w:t>Multiply by Preferred Shares Outstanding</w:t>
      </w:r>
    </w:p>
    <w:p w14:paraId="71C12209" w14:textId="7AA213D7" w:rsidR="00F46435" w:rsidRPr="007B51A2" w:rsidRDefault="00F46435" w:rsidP="007B51A2">
      <w:pPr>
        <w:spacing w:after="160" w:line="259" w:lineRule="auto"/>
        <w:ind w:left="720"/>
        <w:rPr>
          <w:rFonts w:eastAsiaTheme="minorEastAsia" w:cstheme="minorHAnsi"/>
        </w:rPr>
      </w:pPr>
      <w:r w:rsidRPr="007B51A2">
        <w:rPr>
          <w:rFonts w:eastAsiaTheme="minorEastAsia" w:cstheme="minorHAnsi"/>
        </w:rPr>
        <w:t>Total Value of Preferred Equity = 100 x $0.4048 = $40.48</w:t>
      </w:r>
    </w:p>
    <w:p w14:paraId="4940C07A" w14:textId="48AE6D11" w:rsidR="00F46435" w:rsidRPr="0084753D" w:rsidRDefault="00F46435" w:rsidP="0084753D">
      <w:pPr>
        <w:spacing w:after="160" w:line="259" w:lineRule="auto"/>
        <w:ind w:left="720" w:firstLine="720"/>
        <w:rPr>
          <w:rFonts w:eastAsiaTheme="minorEastAsia" w:cstheme="minorHAnsi"/>
          <w:i/>
        </w:rPr>
      </w:pPr>
      <w:r w:rsidRPr="0084753D">
        <w:rPr>
          <w:rFonts w:eastAsiaTheme="minorEastAsia" w:cstheme="minorHAnsi"/>
          <w:i/>
        </w:rPr>
        <w:t>Reconstruct EV equation to confirm</w:t>
      </w:r>
      <w:r w:rsidR="0084753D">
        <w:rPr>
          <w:rFonts w:eastAsiaTheme="minorEastAsia" w:cstheme="minorHAnsi"/>
          <w:i/>
        </w:rPr>
        <w:t xml:space="preserve"> (difference stems from rounding method)</w:t>
      </w:r>
    </w:p>
    <w:p w14:paraId="4E22913A" w14:textId="505DE5E9" w:rsidR="00E840A9" w:rsidRPr="007B51A2" w:rsidRDefault="00F46435" w:rsidP="007B51A2">
      <w:pPr>
        <w:spacing w:after="160" w:line="259" w:lineRule="auto"/>
        <w:ind w:left="720"/>
        <w:rPr>
          <w:rFonts w:cstheme="minorHAnsi"/>
        </w:rPr>
      </w:pPr>
      <w:r w:rsidRPr="007B51A2">
        <w:rPr>
          <w:rFonts w:eastAsiaTheme="minorEastAsia" w:cstheme="minorHAnsi"/>
        </w:rPr>
        <w:t>EV = Estimated Value of Firm = $1,000</w:t>
      </w:r>
      <w:r w:rsidR="007B51A2" w:rsidRPr="007B51A2">
        <w:rPr>
          <w:rFonts w:eastAsiaTheme="minorEastAsia" w:cstheme="minorHAnsi"/>
        </w:rPr>
        <w:t xml:space="preserve"> ≈</w:t>
      </w:r>
      <w:r w:rsidRPr="007B51A2">
        <w:rPr>
          <w:rFonts w:eastAsiaTheme="minorEastAsia" w:cstheme="minorHAnsi"/>
        </w:rPr>
        <w:t xml:space="preserve"> $809.50 + </w:t>
      </w:r>
      <w:r w:rsidR="007B51A2" w:rsidRPr="007B51A2">
        <w:rPr>
          <w:rFonts w:eastAsiaTheme="minorEastAsia" w:cstheme="minorHAnsi"/>
        </w:rPr>
        <w:t>$</w:t>
      </w:r>
      <w:r w:rsidRPr="007B51A2">
        <w:rPr>
          <w:rFonts w:eastAsiaTheme="minorEastAsia" w:cstheme="minorHAnsi"/>
        </w:rPr>
        <w:t>40.48 + $200 - $50</w:t>
      </w:r>
      <w:r w:rsidR="0084753D">
        <w:rPr>
          <w:rFonts w:eastAsiaTheme="minorEastAsia" w:cstheme="minorHAnsi"/>
        </w:rPr>
        <w:t xml:space="preserve"> = $999.98 </w:t>
      </w:r>
      <w:r w:rsidR="007B51A2" w:rsidRPr="007B51A2">
        <w:rPr>
          <w:rFonts w:eastAsiaTheme="minorEastAsia" w:cstheme="minorHAnsi"/>
        </w:rPr>
        <w:t xml:space="preserve"> </w:t>
      </w:r>
      <w:r w:rsidRPr="007B51A2">
        <w:rPr>
          <w:rFonts w:eastAsiaTheme="minorEastAsia" w:cstheme="minorHAnsi"/>
        </w:rPr>
        <w:t xml:space="preserve"> </w:t>
      </w:r>
    </w:p>
    <w:p w14:paraId="52C4B878" w14:textId="33AC1A5E" w:rsidR="00B629F5" w:rsidRDefault="00B629F5" w:rsidP="00B629F5">
      <w:pPr>
        <w:spacing w:after="160" w:line="259" w:lineRule="auto"/>
        <w:ind w:left="720"/>
        <w:rPr>
          <w:b/>
          <w:sz w:val="20"/>
          <w:szCs w:val="20"/>
        </w:rPr>
      </w:pPr>
    </w:p>
    <w:p w14:paraId="4D873552" w14:textId="77777777" w:rsidR="00B629F5" w:rsidRDefault="00B629F5"/>
    <w:p w14:paraId="05F4618B" w14:textId="77777777" w:rsidR="0003223E" w:rsidRDefault="0003223E"/>
    <w:p w14:paraId="0A3174B8" w14:textId="77777777" w:rsidR="00524CEA" w:rsidRDefault="00524CEA"/>
    <w:sectPr w:rsidR="00524CEA" w:rsidSect="00BF1ED1">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5D030" w14:textId="77777777" w:rsidR="009D7597" w:rsidRDefault="009D7597" w:rsidP="009D7597">
      <w:pPr>
        <w:spacing w:after="0" w:line="240" w:lineRule="auto"/>
      </w:pPr>
      <w:r>
        <w:separator/>
      </w:r>
    </w:p>
  </w:endnote>
  <w:endnote w:type="continuationSeparator" w:id="0">
    <w:p w14:paraId="695BB81B" w14:textId="77777777" w:rsidR="009D7597" w:rsidRDefault="009D7597" w:rsidP="009D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4C1A8" w14:textId="77777777" w:rsidR="009D7597" w:rsidRDefault="009D7597" w:rsidP="009D7597">
      <w:pPr>
        <w:spacing w:after="0" w:line="240" w:lineRule="auto"/>
      </w:pPr>
      <w:r>
        <w:separator/>
      </w:r>
    </w:p>
  </w:footnote>
  <w:footnote w:type="continuationSeparator" w:id="0">
    <w:p w14:paraId="507FC0D1" w14:textId="77777777" w:rsidR="009D7597" w:rsidRDefault="009D7597" w:rsidP="009D7597">
      <w:pPr>
        <w:spacing w:after="0" w:line="240" w:lineRule="auto"/>
      </w:pPr>
      <w:r>
        <w:continuationSeparator/>
      </w:r>
    </w:p>
  </w:footnote>
  <w:footnote w:id="1">
    <w:p w14:paraId="63639E1E" w14:textId="708942A1" w:rsidR="009D7597" w:rsidRDefault="009D7597" w:rsidP="009D7597">
      <w:pPr>
        <w:pStyle w:val="FootnoteText"/>
        <w:rPr>
          <w:sz w:val="16"/>
          <w:szCs w:val="16"/>
        </w:rPr>
      </w:pPr>
      <w:r>
        <w:rPr>
          <w:rStyle w:val="FootnoteReference"/>
        </w:rPr>
        <w:footnoteRef/>
      </w:r>
      <w:r>
        <w:t xml:space="preserve"> </w:t>
      </w:r>
      <w:r>
        <w:rPr>
          <w:sz w:val="16"/>
          <w:szCs w:val="16"/>
        </w:rPr>
        <w:t xml:space="preserve">The </w:t>
      </w:r>
      <w:r w:rsidR="00BC58FC">
        <w:rPr>
          <w:sz w:val="16"/>
          <w:szCs w:val="16"/>
        </w:rPr>
        <w:t>Stock Valuation</w:t>
      </w:r>
      <w:r>
        <w:rPr>
          <w:sz w:val="16"/>
          <w:szCs w:val="16"/>
        </w:rPr>
        <w:t xml:space="preserve"> QuickSheet is intended to present an abbreviated presentation of the included concepts in corporate finance and is not intended to be a full or complete representation of the concepts, models, metrics or the underlying foundations from which they are built.</w:t>
      </w:r>
    </w:p>
  </w:footnote>
  <w:footnote w:id="2">
    <w:p w14:paraId="7FB5CED8" w14:textId="77777777" w:rsidR="009D7597" w:rsidRPr="00546198" w:rsidRDefault="009D7597" w:rsidP="009D7597">
      <w:pPr>
        <w:pStyle w:val="FootnoteText"/>
        <w:rPr>
          <w:sz w:val="16"/>
          <w:szCs w:val="16"/>
        </w:rPr>
      </w:pPr>
      <w:r>
        <w:rPr>
          <w:rStyle w:val="FootnoteReference"/>
          <w:sz w:val="16"/>
          <w:szCs w:val="16"/>
        </w:rPr>
        <w:footnoteRef/>
      </w:r>
      <w:r>
        <w:rPr>
          <w:sz w:val="16"/>
          <w:szCs w:val="16"/>
        </w:rPr>
        <w:t xml:space="preserve"> This material set was provided by Richard Haskell, PhD, Associate Professor of Finance, Bill and Vieve Gore School of Business, Westminster College, Salt Lake City, Utah (2020), </w:t>
      </w:r>
      <w:hyperlink r:id="rId1" w:history="1">
        <w:r w:rsidRPr="005775D4">
          <w:rPr>
            <w:rStyle w:val="Hyperlink"/>
            <w:sz w:val="16"/>
            <w:szCs w:val="16"/>
          </w:rPr>
          <w:t>rhaskell@westminstercollege.edu</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5AA8"/>
    <w:multiLevelType w:val="hybridMultilevel"/>
    <w:tmpl w:val="76E0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A2A0C"/>
    <w:multiLevelType w:val="hybridMultilevel"/>
    <w:tmpl w:val="82A8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21ECC"/>
    <w:multiLevelType w:val="hybridMultilevel"/>
    <w:tmpl w:val="71F0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D50"/>
    <w:multiLevelType w:val="hybridMultilevel"/>
    <w:tmpl w:val="BF02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40046"/>
    <w:multiLevelType w:val="hybridMultilevel"/>
    <w:tmpl w:val="560A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9D7597"/>
    <w:rsid w:val="00023BEC"/>
    <w:rsid w:val="000248FD"/>
    <w:rsid w:val="0003223E"/>
    <w:rsid w:val="00035604"/>
    <w:rsid w:val="00052C07"/>
    <w:rsid w:val="000C36D8"/>
    <w:rsid w:val="000F3428"/>
    <w:rsid w:val="00130541"/>
    <w:rsid w:val="0014357A"/>
    <w:rsid w:val="001516B4"/>
    <w:rsid w:val="00153AD0"/>
    <w:rsid w:val="00163821"/>
    <w:rsid w:val="00165E6C"/>
    <w:rsid w:val="00167D20"/>
    <w:rsid w:val="00175F39"/>
    <w:rsid w:val="00183859"/>
    <w:rsid w:val="00183978"/>
    <w:rsid w:val="001927BD"/>
    <w:rsid w:val="001A2708"/>
    <w:rsid w:val="001A2F9A"/>
    <w:rsid w:val="001E3653"/>
    <w:rsid w:val="001E4CAC"/>
    <w:rsid w:val="001F1510"/>
    <w:rsid w:val="0021361D"/>
    <w:rsid w:val="00215BF6"/>
    <w:rsid w:val="00220AD4"/>
    <w:rsid w:val="00244F28"/>
    <w:rsid w:val="002506B1"/>
    <w:rsid w:val="00266713"/>
    <w:rsid w:val="002A10AA"/>
    <w:rsid w:val="00304E78"/>
    <w:rsid w:val="003068BC"/>
    <w:rsid w:val="00323A4D"/>
    <w:rsid w:val="003531AA"/>
    <w:rsid w:val="0035547F"/>
    <w:rsid w:val="00367712"/>
    <w:rsid w:val="00370CBA"/>
    <w:rsid w:val="00372077"/>
    <w:rsid w:val="003770CF"/>
    <w:rsid w:val="00390F65"/>
    <w:rsid w:val="003960F5"/>
    <w:rsid w:val="003A1D04"/>
    <w:rsid w:val="003A45A9"/>
    <w:rsid w:val="003B370D"/>
    <w:rsid w:val="003C0188"/>
    <w:rsid w:val="003C09E9"/>
    <w:rsid w:val="003D5382"/>
    <w:rsid w:val="003F31A2"/>
    <w:rsid w:val="00406B22"/>
    <w:rsid w:val="00414748"/>
    <w:rsid w:val="00415439"/>
    <w:rsid w:val="00435F89"/>
    <w:rsid w:val="004619C7"/>
    <w:rsid w:val="00461E21"/>
    <w:rsid w:val="00476748"/>
    <w:rsid w:val="004A0454"/>
    <w:rsid w:val="004C6B9E"/>
    <w:rsid w:val="004D6E8B"/>
    <w:rsid w:val="004E0779"/>
    <w:rsid w:val="004E462A"/>
    <w:rsid w:val="0050401A"/>
    <w:rsid w:val="00506CE9"/>
    <w:rsid w:val="00524CEA"/>
    <w:rsid w:val="00554F3E"/>
    <w:rsid w:val="0057042D"/>
    <w:rsid w:val="0057227C"/>
    <w:rsid w:val="005B70B0"/>
    <w:rsid w:val="005C77A3"/>
    <w:rsid w:val="005D4327"/>
    <w:rsid w:val="005E1F71"/>
    <w:rsid w:val="006055A9"/>
    <w:rsid w:val="006107E1"/>
    <w:rsid w:val="00610AC2"/>
    <w:rsid w:val="006140D1"/>
    <w:rsid w:val="00621C48"/>
    <w:rsid w:val="006229FF"/>
    <w:rsid w:val="00637A5A"/>
    <w:rsid w:val="006603C0"/>
    <w:rsid w:val="00661DBA"/>
    <w:rsid w:val="006835CA"/>
    <w:rsid w:val="006B3AE1"/>
    <w:rsid w:val="006C1C37"/>
    <w:rsid w:val="006E035B"/>
    <w:rsid w:val="006F0408"/>
    <w:rsid w:val="00754DA6"/>
    <w:rsid w:val="00786F9B"/>
    <w:rsid w:val="00791249"/>
    <w:rsid w:val="007A7B99"/>
    <w:rsid w:val="007B319D"/>
    <w:rsid w:val="007B51A2"/>
    <w:rsid w:val="007C12B4"/>
    <w:rsid w:val="007C3D93"/>
    <w:rsid w:val="007F4192"/>
    <w:rsid w:val="00801938"/>
    <w:rsid w:val="0080443E"/>
    <w:rsid w:val="0082618F"/>
    <w:rsid w:val="00833F93"/>
    <w:rsid w:val="0084753D"/>
    <w:rsid w:val="008547A7"/>
    <w:rsid w:val="00884460"/>
    <w:rsid w:val="008903B1"/>
    <w:rsid w:val="008A1F11"/>
    <w:rsid w:val="008C3A41"/>
    <w:rsid w:val="008E1947"/>
    <w:rsid w:val="008E33E7"/>
    <w:rsid w:val="008E4F07"/>
    <w:rsid w:val="008F4D37"/>
    <w:rsid w:val="009104AA"/>
    <w:rsid w:val="00911711"/>
    <w:rsid w:val="0092536F"/>
    <w:rsid w:val="0096625C"/>
    <w:rsid w:val="00994C12"/>
    <w:rsid w:val="009B396E"/>
    <w:rsid w:val="009D5C41"/>
    <w:rsid w:val="009D7597"/>
    <w:rsid w:val="009F6A6A"/>
    <w:rsid w:val="00A002DF"/>
    <w:rsid w:val="00A24431"/>
    <w:rsid w:val="00A306E6"/>
    <w:rsid w:val="00A3188E"/>
    <w:rsid w:val="00A34C02"/>
    <w:rsid w:val="00A3725E"/>
    <w:rsid w:val="00A46AB8"/>
    <w:rsid w:val="00A51272"/>
    <w:rsid w:val="00A705B6"/>
    <w:rsid w:val="00A74B00"/>
    <w:rsid w:val="00AA5702"/>
    <w:rsid w:val="00AB59FA"/>
    <w:rsid w:val="00AB676D"/>
    <w:rsid w:val="00AB7608"/>
    <w:rsid w:val="00AC16E0"/>
    <w:rsid w:val="00AC7790"/>
    <w:rsid w:val="00AD0BEB"/>
    <w:rsid w:val="00AE79B2"/>
    <w:rsid w:val="00AF11D2"/>
    <w:rsid w:val="00AF191F"/>
    <w:rsid w:val="00B22895"/>
    <w:rsid w:val="00B407BF"/>
    <w:rsid w:val="00B473C3"/>
    <w:rsid w:val="00B629F5"/>
    <w:rsid w:val="00B7279F"/>
    <w:rsid w:val="00BC108C"/>
    <w:rsid w:val="00BC58FC"/>
    <w:rsid w:val="00BD010A"/>
    <w:rsid w:val="00BD0163"/>
    <w:rsid w:val="00BF1ED1"/>
    <w:rsid w:val="00C00C44"/>
    <w:rsid w:val="00C01438"/>
    <w:rsid w:val="00C27AC3"/>
    <w:rsid w:val="00C30FF3"/>
    <w:rsid w:val="00C34251"/>
    <w:rsid w:val="00C51BAB"/>
    <w:rsid w:val="00C6127A"/>
    <w:rsid w:val="00C62CBA"/>
    <w:rsid w:val="00C84D45"/>
    <w:rsid w:val="00C936FF"/>
    <w:rsid w:val="00C9559B"/>
    <w:rsid w:val="00C95B6D"/>
    <w:rsid w:val="00CA07F0"/>
    <w:rsid w:val="00CB52DD"/>
    <w:rsid w:val="00CB7A7E"/>
    <w:rsid w:val="00CD70A5"/>
    <w:rsid w:val="00CE38BC"/>
    <w:rsid w:val="00CE6388"/>
    <w:rsid w:val="00D11452"/>
    <w:rsid w:val="00D433CD"/>
    <w:rsid w:val="00D92378"/>
    <w:rsid w:val="00DC0413"/>
    <w:rsid w:val="00DC0F1A"/>
    <w:rsid w:val="00E038D9"/>
    <w:rsid w:val="00E21921"/>
    <w:rsid w:val="00E23CBB"/>
    <w:rsid w:val="00E32428"/>
    <w:rsid w:val="00E42AA8"/>
    <w:rsid w:val="00E524C2"/>
    <w:rsid w:val="00E82DFB"/>
    <w:rsid w:val="00E83329"/>
    <w:rsid w:val="00E840A9"/>
    <w:rsid w:val="00E93EED"/>
    <w:rsid w:val="00EC7694"/>
    <w:rsid w:val="00F26966"/>
    <w:rsid w:val="00F36BEF"/>
    <w:rsid w:val="00F3784C"/>
    <w:rsid w:val="00F46435"/>
    <w:rsid w:val="00F5139C"/>
    <w:rsid w:val="00F66DC9"/>
    <w:rsid w:val="00F743F4"/>
    <w:rsid w:val="00F779DD"/>
    <w:rsid w:val="00F80AA2"/>
    <w:rsid w:val="00FD2FF2"/>
    <w:rsid w:val="00FD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CABF"/>
  <w15:chartTrackingRefBased/>
  <w15:docId w15:val="{133AD708-0362-4503-BA36-5191E02C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5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7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597"/>
    <w:rPr>
      <w:sz w:val="20"/>
      <w:szCs w:val="20"/>
    </w:rPr>
  </w:style>
  <w:style w:type="character" w:styleId="FootnoteReference">
    <w:name w:val="footnote reference"/>
    <w:basedOn w:val="DefaultParagraphFont"/>
    <w:uiPriority w:val="99"/>
    <w:semiHidden/>
    <w:unhideWhenUsed/>
    <w:rsid w:val="009D7597"/>
    <w:rPr>
      <w:vertAlign w:val="superscript"/>
    </w:rPr>
  </w:style>
  <w:style w:type="character" w:styleId="Hyperlink">
    <w:name w:val="Hyperlink"/>
    <w:basedOn w:val="DefaultParagraphFont"/>
    <w:uiPriority w:val="99"/>
    <w:unhideWhenUsed/>
    <w:rsid w:val="009D7597"/>
    <w:rPr>
      <w:color w:val="0563C1" w:themeColor="hyperlink"/>
      <w:u w:val="single"/>
    </w:rPr>
  </w:style>
  <w:style w:type="character" w:styleId="PlaceholderText">
    <w:name w:val="Placeholder Text"/>
    <w:basedOn w:val="DefaultParagraphFont"/>
    <w:uiPriority w:val="99"/>
    <w:semiHidden/>
    <w:rsid w:val="00F66DC9"/>
    <w:rPr>
      <w:color w:val="808080"/>
    </w:rPr>
  </w:style>
  <w:style w:type="table" w:styleId="TableGrid">
    <w:name w:val="Table Grid"/>
    <w:basedOn w:val="TableNormal"/>
    <w:uiPriority w:val="39"/>
    <w:rsid w:val="00E8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8BC"/>
    <w:rPr>
      <w:rFonts w:ascii="Segoe UI" w:hAnsi="Segoe UI" w:cs="Segoe UI"/>
      <w:sz w:val="18"/>
      <w:szCs w:val="18"/>
    </w:rPr>
  </w:style>
  <w:style w:type="paragraph" w:styleId="ListParagraph">
    <w:name w:val="List Paragraph"/>
    <w:basedOn w:val="Normal"/>
    <w:uiPriority w:val="34"/>
    <w:qFormat/>
    <w:rsid w:val="004E4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rhaskell@westminster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469D38D6F00243A0B00E9C580DF17A" ma:contentTypeVersion="13" ma:contentTypeDescription="Create a new document." ma:contentTypeScope="" ma:versionID="76b9f3d90259b5df45e45c26dc4c6678">
  <xsd:schema xmlns:xsd="http://www.w3.org/2001/XMLSchema" xmlns:xs="http://www.w3.org/2001/XMLSchema" xmlns:p="http://schemas.microsoft.com/office/2006/metadata/properties" xmlns:ns3="c2612fa5-ccce-4251-b75c-38c81acd357a" xmlns:ns4="069fdbfb-56fb-4063-9646-a6eb9499c54a" targetNamespace="http://schemas.microsoft.com/office/2006/metadata/properties" ma:root="true" ma:fieldsID="643ccb298913e338398dbfa93aabbcc1" ns3:_="" ns4:_="">
    <xsd:import namespace="c2612fa5-ccce-4251-b75c-38c81acd357a"/>
    <xsd:import namespace="069fdbfb-56fb-4063-9646-a6eb9499c5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2fa5-ccce-4251-b75c-38c81acd3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fdbfb-56fb-4063-9646-a6eb9499c5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0E9BC-48D2-4A73-AD8B-C08BC39A1525}">
  <ds:schemaRefs>
    <ds:schemaRef ds:uri="c2612fa5-ccce-4251-b75c-38c81acd357a"/>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69fdbfb-56fb-4063-9646-a6eb9499c54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3C8812-629E-40C8-A2A1-D9DD639D1CD7}">
  <ds:schemaRefs>
    <ds:schemaRef ds:uri="http://schemas.microsoft.com/sharepoint/v3/contenttype/forms"/>
  </ds:schemaRefs>
</ds:datastoreItem>
</file>

<file path=customXml/itemProps3.xml><?xml version="1.0" encoding="utf-8"?>
<ds:datastoreItem xmlns:ds="http://schemas.openxmlformats.org/officeDocument/2006/customXml" ds:itemID="{FAEFE6D2-9CFA-4279-9BC7-A9103503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2fa5-ccce-4251-b75c-38c81acd357a"/>
    <ds:schemaRef ds:uri="069fdbfb-56fb-4063-9646-a6eb9499c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Haskell</dc:creator>
  <cp:keywords/>
  <dc:description/>
  <cp:lastModifiedBy>Richard Haskell</cp:lastModifiedBy>
  <cp:revision>3</cp:revision>
  <cp:lastPrinted>2020-10-08T20:59:00Z</cp:lastPrinted>
  <dcterms:created xsi:type="dcterms:W3CDTF">2020-10-08T21:02:00Z</dcterms:created>
  <dcterms:modified xsi:type="dcterms:W3CDTF">2021-10-26T12:41:00Z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0x01010054469D38D6F00243A0B00E9C580DF17A</vt:lpwstr>
  </property>
</Properties>
</file>