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A253" w14:textId="1DA97AC0" w:rsidR="00D95D46" w:rsidRDefault="00D95D46" w:rsidP="00D95D46">
      <w:pPr>
        <w:jc w:val="center"/>
        <w:rPr>
          <w:b/>
        </w:rPr>
      </w:pPr>
      <w:bookmarkStart w:id="0" w:name="_GoBack"/>
      <w:bookmarkEnd w:id="0"/>
      <w:r>
        <w:rPr>
          <w:b/>
        </w:rPr>
        <w:t>Whole Foods Markets</w:t>
      </w:r>
      <w:r>
        <w:rPr>
          <w:rStyle w:val="FootnoteReference"/>
          <w:b/>
        </w:rPr>
        <w:footnoteReference w:id="1"/>
      </w:r>
      <w:r>
        <w:rPr>
          <w:b/>
        </w:rPr>
        <w:br/>
      </w:r>
      <w:r w:rsidR="002B364C">
        <w:rPr>
          <w:b/>
        </w:rPr>
        <w:t xml:space="preserve">In-Class </w:t>
      </w:r>
      <w:r w:rsidR="004C32D9">
        <w:rPr>
          <w:b/>
        </w:rPr>
        <w:t xml:space="preserve">Firm </w:t>
      </w:r>
      <w:r w:rsidR="002B364C">
        <w:rPr>
          <w:b/>
        </w:rPr>
        <w:t>Study</w:t>
      </w:r>
      <w:r>
        <w:rPr>
          <w:rStyle w:val="FootnoteReference"/>
          <w:b/>
        </w:rPr>
        <w:footnoteReference w:id="2"/>
      </w:r>
    </w:p>
    <w:p w14:paraId="1A392A83" w14:textId="79F89326" w:rsidR="003F1A1D" w:rsidRDefault="00D95D46">
      <w:r>
        <w:t>As Corporate Counsel for Whole Foods you’ve been given the responsibility of determining the viability of an offer from the Farm Hill Group</w:t>
      </w:r>
      <w:r>
        <w:rPr>
          <w:rStyle w:val="FootnoteReference"/>
        </w:rPr>
        <w:footnoteReference w:id="3"/>
      </w:r>
      <w:r>
        <w:t xml:space="preserve"> for a significant investment in the firm</w:t>
      </w:r>
      <w:r w:rsidR="003F1A1D">
        <w:t xml:space="preserve"> based on a valuation of $1</w:t>
      </w:r>
      <w:r w:rsidR="00BB313A">
        <w:t>2</w:t>
      </w:r>
      <w:r w:rsidR="003F1A1D">
        <w:t xml:space="preserve"> billion</w:t>
      </w:r>
      <w:r>
        <w:t xml:space="preserve">.  </w:t>
      </w:r>
      <w:r w:rsidR="003F1A1D">
        <w:t>Farm Hill is a private equity firm known to seek stakes in under-valued firms and once obtained participates from the standpoint of an activist investor.</w:t>
      </w:r>
    </w:p>
    <w:p w14:paraId="1E20ADB2" w14:textId="77777777" w:rsidR="003F1A1D" w:rsidRDefault="003F1A1D">
      <w:r>
        <w:t xml:space="preserve">As Whole Foods Corporate Counsel you’ve been tasked with determining the viability of the offer and to advise the firm’s </w:t>
      </w:r>
      <w:r w:rsidR="00D95D46">
        <w:t>Senior Management and the Board of Directors</w:t>
      </w:r>
      <w:r>
        <w:t xml:space="preserve"> if the offer should be entertained or if the firm should move to protect itself in the open markets.</w:t>
      </w:r>
    </w:p>
    <w:p w14:paraId="66B451CA" w14:textId="77777777" w:rsidR="003F1A1D" w:rsidRDefault="00D95D46">
      <w:r>
        <w:t xml:space="preserve"> </w:t>
      </w:r>
    </w:p>
    <w:p w14:paraId="66C6A91A" w14:textId="77777777" w:rsidR="00377CD5" w:rsidRDefault="00377CD5" w:rsidP="00377CD5">
      <w:pPr>
        <w:pStyle w:val="ListParagraph"/>
        <w:numPr>
          <w:ilvl w:val="0"/>
          <w:numId w:val="1"/>
        </w:numPr>
      </w:pPr>
      <w:r>
        <w:t xml:space="preserve">Consider the firm’s long-run growth as a function of </w:t>
      </w:r>
      <w:r w:rsidRPr="008C0DB2">
        <w:rPr>
          <w:b/>
          <w:i/>
        </w:rPr>
        <w:t>g</w:t>
      </w:r>
      <w:r>
        <w:t xml:space="preserve"> = </w:t>
      </w:r>
      <w:r w:rsidRPr="008C0DB2">
        <w:rPr>
          <w:b/>
        </w:rPr>
        <w:t>IR x ROIC</w:t>
      </w:r>
      <w:r>
        <w:t xml:space="preserve"> and compare it to some prudent level of </w:t>
      </w:r>
      <w:r w:rsidRPr="008C0DB2">
        <w:rPr>
          <w:b/>
          <w:i/>
        </w:rPr>
        <w:t>g</w:t>
      </w:r>
      <w:r>
        <w:t xml:space="preserve"> that might otherwise be used in a valuation forecast.  Which </w:t>
      </w:r>
      <w:r w:rsidRPr="008C0DB2">
        <w:rPr>
          <w:b/>
          <w:i/>
        </w:rPr>
        <w:t>g</w:t>
      </w:r>
      <w:r>
        <w:t xml:space="preserve"> will you choose to use and why?</w:t>
      </w:r>
    </w:p>
    <w:p w14:paraId="6E524AF2" w14:textId="77777777" w:rsidR="00377CD5" w:rsidRDefault="00377CD5" w:rsidP="00377CD5">
      <w:pPr>
        <w:pStyle w:val="ListParagraph"/>
      </w:pPr>
    </w:p>
    <w:p w14:paraId="66121375" w14:textId="7E0D7CEC" w:rsidR="00377CD5" w:rsidRDefault="00377CD5" w:rsidP="00377CD5">
      <w:pPr>
        <w:pStyle w:val="ListParagraph"/>
        <w:numPr>
          <w:ilvl w:val="0"/>
          <w:numId w:val="1"/>
        </w:numPr>
      </w:pPr>
      <w:r>
        <w:t xml:space="preserve">Compare the firm’s observed EV/EBIT multiple at the end of </w:t>
      </w:r>
      <w:r w:rsidR="005F52DA">
        <w:t>2016</w:t>
      </w:r>
      <w:r>
        <w:t xml:space="preserve"> with a KVD style EV/EBIT multiple for the same period. </w:t>
      </w:r>
      <w:r w:rsidRPr="000F24DB">
        <w:rPr>
          <w:i/>
        </w:rPr>
        <w:t xml:space="preserve"> What issues do you see with using either in a valuation calculation?  Be specific here, identify each multiple vale (show your work), and indicate which appears to have greater credibility.</w:t>
      </w:r>
    </w:p>
    <w:p w14:paraId="5E815EEC" w14:textId="77777777" w:rsidR="00377CD5" w:rsidRDefault="00377CD5" w:rsidP="00377CD5">
      <w:pPr>
        <w:pStyle w:val="ListParagraph"/>
      </w:pPr>
    </w:p>
    <w:p w14:paraId="24236166" w14:textId="5834D524" w:rsidR="00377CD5" w:rsidRDefault="00377CD5" w:rsidP="00377CD5">
      <w:pPr>
        <w:pStyle w:val="ListParagraph"/>
        <w:numPr>
          <w:ilvl w:val="0"/>
          <w:numId w:val="1"/>
        </w:numPr>
      </w:pPr>
      <w:r>
        <w:t xml:space="preserve">Construct a valuation for </w:t>
      </w:r>
      <w:r w:rsidR="00BB313A">
        <w:t>Whole Foods</w:t>
      </w:r>
      <w:r>
        <w:t xml:space="preserve"> based on the forward estimates provided.  </w:t>
      </w:r>
      <w:r w:rsidRPr="0097510E">
        <w:rPr>
          <w:i/>
        </w:rPr>
        <w:t>You’ll want to construct multiple versions of your valuation model here: 1) DCF</w:t>
      </w:r>
      <w:r w:rsidRPr="0097510E">
        <w:rPr>
          <w:i/>
          <w:vertAlign w:val="subscript"/>
        </w:rPr>
        <w:t>FCF</w:t>
      </w:r>
      <w:r w:rsidRPr="0097510E">
        <w:rPr>
          <w:i/>
        </w:rPr>
        <w:t>, 2) DCF</w:t>
      </w:r>
      <w:r w:rsidRPr="0097510E">
        <w:rPr>
          <w:i/>
          <w:vertAlign w:val="subscript"/>
        </w:rPr>
        <w:t>FCF/FMM</w:t>
      </w:r>
      <w:r w:rsidRPr="0097510E">
        <w:rPr>
          <w:i/>
        </w:rPr>
        <w:t xml:space="preserve"> using an observed multiple, 3) DCF</w:t>
      </w:r>
      <w:r w:rsidRPr="0097510E">
        <w:rPr>
          <w:i/>
          <w:vertAlign w:val="subscript"/>
        </w:rPr>
        <w:t>FCF/FMM</w:t>
      </w:r>
      <w:r w:rsidRPr="0097510E">
        <w:rPr>
          <w:i/>
        </w:rPr>
        <w:t xml:space="preserve"> using a target multiple, 4) DCD</w:t>
      </w:r>
      <w:r w:rsidRPr="0097510E">
        <w:rPr>
          <w:i/>
          <w:vertAlign w:val="subscript"/>
        </w:rPr>
        <w:t>FCF/FMM</w:t>
      </w:r>
      <w:r w:rsidRPr="0097510E">
        <w:rPr>
          <w:i/>
        </w:rPr>
        <w:t xml:space="preserve"> using a KVD style multiple.  From these you can see some differences and make a reasoned determination as to which value to use.</w:t>
      </w:r>
      <w:r>
        <w:rPr>
          <w:i/>
        </w:rPr>
        <w:br/>
      </w:r>
    </w:p>
    <w:p w14:paraId="7C5C3B7A" w14:textId="448F6F5C" w:rsidR="00377CD5" w:rsidRDefault="00377CD5" w:rsidP="00377CD5">
      <w:pPr>
        <w:pStyle w:val="ListParagraph"/>
        <w:numPr>
          <w:ilvl w:val="0"/>
          <w:numId w:val="1"/>
        </w:numPr>
      </w:pPr>
      <w:r>
        <w:t xml:space="preserve">Given the data provided, at what valuation might an investment in </w:t>
      </w:r>
      <w:r w:rsidR="00BB313A">
        <w:t>Whole Foods</w:t>
      </w:r>
      <w:r>
        <w:t xml:space="preserve"> be attractive?  </w:t>
      </w:r>
      <w:r>
        <w:br/>
      </w:r>
    </w:p>
    <w:p w14:paraId="7962A4B6" w14:textId="1BFA9F32" w:rsidR="00377CD5" w:rsidRDefault="00377CD5" w:rsidP="00377CD5">
      <w:pPr>
        <w:pStyle w:val="ListParagraph"/>
        <w:numPr>
          <w:ilvl w:val="0"/>
          <w:numId w:val="1"/>
        </w:numPr>
      </w:pPr>
      <w:r>
        <w:t xml:space="preserve">Based on your answer to question 4, above, what would the firm’s EV/EBIT multiple need to have been at the end of </w:t>
      </w:r>
      <w:r w:rsidR="005F52DA">
        <w:t>2016</w:t>
      </w:r>
      <w:r>
        <w:t xml:space="preserve"> to justify valuation you’ve indicated, and why might the firm warrant such a multiple (valuation)?  </w:t>
      </w:r>
    </w:p>
    <w:p w14:paraId="520F478D" w14:textId="1D086991" w:rsidR="00E65611" w:rsidRDefault="00E65611" w:rsidP="00377CD5">
      <w:pPr>
        <w:pStyle w:val="ListParagraph"/>
      </w:pPr>
    </w:p>
    <w:p w14:paraId="549AF405" w14:textId="77777777" w:rsidR="00E65611" w:rsidRDefault="00E65611">
      <w:r>
        <w:br w:type="page"/>
      </w:r>
    </w:p>
    <w:p w14:paraId="752E13BE" w14:textId="77777777" w:rsidR="003F1A1D" w:rsidRDefault="003F1A1D" w:rsidP="00E65611">
      <w:pPr>
        <w:pStyle w:val="ListParagraph"/>
        <w:sectPr w:rsidR="003F1A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"/>
        <w:gridCol w:w="481"/>
        <w:gridCol w:w="323"/>
        <w:gridCol w:w="2359"/>
        <w:gridCol w:w="905"/>
        <w:gridCol w:w="988"/>
        <w:gridCol w:w="988"/>
        <w:gridCol w:w="988"/>
        <w:gridCol w:w="988"/>
        <w:gridCol w:w="988"/>
        <w:gridCol w:w="933"/>
        <w:gridCol w:w="933"/>
        <w:gridCol w:w="905"/>
        <w:gridCol w:w="907"/>
      </w:tblGrid>
      <w:tr w:rsidR="008740C8" w:rsidRPr="008740C8" w14:paraId="31A2526B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054" w14:textId="77777777" w:rsidR="008740C8" w:rsidRPr="008740C8" w:rsidRDefault="008740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Whole Foods Market, Inc.</w:t>
            </w:r>
          </w:p>
        </w:tc>
      </w:tr>
      <w:tr w:rsidR="008740C8" w:rsidRPr="008740C8" w14:paraId="3B3173A9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CC9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Consolidated Balance Sheets</w:t>
            </w:r>
          </w:p>
        </w:tc>
      </w:tr>
      <w:tr w:rsidR="008740C8" w:rsidRPr="008740C8" w14:paraId="6AAD1B5B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FA9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Year ending 30 September for each year indicated</w:t>
            </w:r>
          </w:p>
        </w:tc>
      </w:tr>
      <w:tr w:rsidR="008740C8" w:rsidRPr="008740C8" w14:paraId="192EA447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60BB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(all values in millions)</w:t>
            </w:r>
          </w:p>
        </w:tc>
      </w:tr>
      <w:tr w:rsidR="008740C8" w:rsidRPr="008740C8" w14:paraId="3807C741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011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F7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00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8F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C97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3A9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5F6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7B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7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7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30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B89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9F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11A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606C4AC" w14:textId="77777777" w:rsidTr="00324634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54D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Assets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8E7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5C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F9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A6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12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7E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63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1F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D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E1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B9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7E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0F3E53A3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67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DC0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Current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3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3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21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0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F0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B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4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9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A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55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</w:tr>
      <w:tr w:rsidR="008740C8" w:rsidRPr="008740C8" w14:paraId="428056F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2A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BA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D2B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Cash and cash equivalents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C7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852.0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F8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519.0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D0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852.0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81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1,134.0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C4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1,323.1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5A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746.3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D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548.5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A2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501.2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E79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31.2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DF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2.3</w:t>
            </w:r>
          </w:p>
        </w:tc>
      </w:tr>
      <w:tr w:rsidR="008740C8" w:rsidRPr="008740C8" w14:paraId="37EFC93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2D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6F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FBB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Short-Term Receivables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2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C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218.0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A8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71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188.0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E8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196.5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8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175.3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30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133.3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4C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104.7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0C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115.4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EA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270.3</w:t>
            </w:r>
          </w:p>
        </w:tc>
      </w:tr>
      <w:tr w:rsidR="008740C8" w:rsidRPr="008740C8" w14:paraId="4CEE43F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B4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B5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4F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Inventories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A4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517.0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D9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500.0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09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441.0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0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414.0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17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374.3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CE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336.8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99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323.5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EC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310.6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31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327.5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4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288.1</w:t>
            </w:r>
          </w:p>
        </w:tc>
      </w:tr>
      <w:tr w:rsidR="008740C8" w:rsidRPr="008740C8" w14:paraId="7DC0A9C7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25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D2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9A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Other Current Assets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5E2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364.0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8A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307.0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21E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265.0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6F7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244.0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F15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208.8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14F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194.8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D4F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156.2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F3E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138.9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F6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148.6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C43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107.3</w:t>
            </w:r>
          </w:p>
        </w:tc>
      </w:tr>
      <w:tr w:rsidR="008740C8" w:rsidRPr="008740C8" w14:paraId="7F7D50D9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6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19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EBB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current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5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1,975.0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2B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1,544.0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B9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1,756.0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E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1,980.0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74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2,102.6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07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1,453.1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CD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1,161.5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83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1,055.4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73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622.6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2D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668.0</w:t>
            </w:r>
          </w:p>
        </w:tc>
      </w:tr>
      <w:tr w:rsidR="008740C8" w:rsidRPr="008740C8" w14:paraId="21546060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0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F7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FC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F1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72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DC5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70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5C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D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3E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B9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BE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07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3848DCEA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A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9D7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Long-Term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C58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17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3B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65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04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34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F0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1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986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0C1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6BEFCB9A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6B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4C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9E7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Property, Plant &amp; Equipment - Gross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55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6,414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561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5,854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D8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5,309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F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4,512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3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4,049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E5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3,619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332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3,298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F8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3,078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0B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2,894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28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2,483</w:t>
            </w:r>
          </w:p>
        </w:tc>
      </w:tr>
      <w:tr w:rsidR="008740C8" w:rsidRPr="008740C8" w14:paraId="4671EAA2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A4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57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FE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Accumulated Depreciation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1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-2,972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C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-2,691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9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-2,386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69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-2,084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B7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-1,856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7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-1,622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63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-1,412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5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-1,180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D8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-994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D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-817</w:t>
            </w:r>
          </w:p>
        </w:tc>
      </w:tr>
      <w:tr w:rsidR="008740C8" w:rsidRPr="008740C8" w14:paraId="11136E3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33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11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5C1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Total Investments and Advances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27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BC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3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C9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5F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65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46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77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3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54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</w:tr>
      <w:tr w:rsidR="008740C8" w:rsidRPr="008740C8" w14:paraId="78ECB54F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FA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9A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3A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Intangible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0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784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1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5C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F5D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27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725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34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7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70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E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E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767</w:t>
            </w:r>
          </w:p>
        </w:tc>
      </w:tr>
      <w:tr w:rsidR="008740C8" w:rsidRPr="008740C8" w14:paraId="5BDFC602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2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7B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9E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Deferred Tax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CB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8EE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3D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A5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8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2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BDE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C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A7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53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105</w:t>
            </w:r>
          </w:p>
        </w:tc>
      </w:tr>
      <w:tr w:rsidR="008740C8" w:rsidRPr="008740C8" w14:paraId="77F0FC24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44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0D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82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Other Assets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A9B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F28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B9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73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7A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DE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200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A94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8C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C67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</w:t>
            </w:r>
          </w:p>
        </w:tc>
      </w:tr>
      <w:tr w:rsidR="008740C8" w:rsidRPr="008740C8" w14:paraId="1983FD38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D1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02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C79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Long-Term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0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4,366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FE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4,197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97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3,988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9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3,558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FA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3,192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B1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2,839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CE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2,825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34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2,728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67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2,758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DF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2,545</w:t>
            </w:r>
          </w:p>
        </w:tc>
      </w:tr>
      <w:tr w:rsidR="008740C8" w:rsidRPr="008740C8" w14:paraId="6FA769B9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FF5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C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61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B6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8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5B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86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00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4C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55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8A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8D9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3E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F84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C7FC024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55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F25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0F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6,341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7B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CC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A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CC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9C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63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2A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5D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A3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04518D02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1A3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00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27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20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3C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5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8C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A7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94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8C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62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EC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C2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59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86D7A3B" w14:textId="77777777" w:rsidTr="00324634">
        <w:trPr>
          <w:trHeight w:val="300"/>
        </w:trPr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F76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Liabilities and Shareholders’ Equity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260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4E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F4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02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04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A3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AB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C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71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845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8FD0E59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2F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F8D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Current liabilities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453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58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25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0F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13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6E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1D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066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8F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DE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C6032E8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0D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C0D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32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ST Debt &amp; </w:t>
            </w:r>
            <w:proofErr w:type="spellStart"/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Curr</w:t>
            </w:r>
            <w:proofErr w:type="spellEnd"/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. Portion LT Debt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C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1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D6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7A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D5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4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E1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AF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F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61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24.8</w:t>
            </w:r>
          </w:p>
        </w:tc>
      </w:tr>
      <w:tr w:rsidR="008740C8" w:rsidRPr="008740C8" w14:paraId="2806E208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8C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6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8B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Accounts Payable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46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98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295.0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B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276.0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58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F9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247.1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34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236.9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98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213.2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A0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189.6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03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183.1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88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225.7</w:t>
            </w:r>
          </w:p>
        </w:tc>
      </w:tr>
      <w:tr w:rsidR="008740C8" w:rsidRPr="008740C8" w14:paraId="5D92717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3F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B1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E9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Other Current Liabilities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D74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1,031.0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6E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954.0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D33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979.0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AB96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840.0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9F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729.1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9C2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642.0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ABC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534.3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D8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494.0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CC8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482.7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4F4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534.0</w:t>
            </w:r>
          </w:p>
        </w:tc>
      </w:tr>
      <w:tr w:rsidR="008740C8" w:rsidRPr="008740C8" w14:paraId="2B592B80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2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6F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981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current liabilities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2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1,341.0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C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1,252.0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9E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1,257.0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1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1,088.0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4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977.2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B30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879.4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49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747.9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0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684.0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32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666.2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2A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784.5</w:t>
            </w:r>
          </w:p>
        </w:tc>
      </w:tr>
      <w:tr w:rsidR="008740C8" w:rsidRPr="008740C8" w14:paraId="1642268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4D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63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03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63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19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6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9A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87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BD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2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99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CD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9EE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FC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35352B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1F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B8A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Long -Term Debt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4CD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AE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4D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D0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78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78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E5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F7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64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E6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48795C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70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D6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C5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Long-Term Debt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11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1,048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913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C9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1A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20A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D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1F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56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4E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9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736</w:t>
            </w:r>
          </w:p>
        </w:tc>
      </w:tr>
      <w:tr w:rsidR="008740C8" w:rsidRPr="008740C8" w14:paraId="1B37672E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71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BF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6C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Other Liabilities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EB2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2A7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80F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A2F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43F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D54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3B3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D78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D08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DA8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234</w:t>
            </w:r>
          </w:p>
        </w:tc>
      </w:tr>
      <w:tr w:rsidR="008740C8" w:rsidRPr="008740C8" w14:paraId="7C237D79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060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53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569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Long-Term Debt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35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1,776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10C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0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E0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2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A4D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D5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CC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1,058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10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1,209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55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</w:tr>
      <w:tr w:rsidR="008740C8" w:rsidRPr="008740C8" w14:paraId="647BF2D5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E1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C2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C0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1E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D8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FF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C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06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BB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D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2C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A0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43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5F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7281AF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A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A97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Liabilities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69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3,117.0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7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1,972.0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12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1,931.0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BB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1,660.0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A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1,491.7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AA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1,300.8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4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1,613.3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11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1,742.5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1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1,874.7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B4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1,754.3</w:t>
            </w:r>
          </w:p>
        </w:tc>
      </w:tr>
      <w:tr w:rsidR="008740C8" w:rsidRPr="008740C8" w14:paraId="410EB763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7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887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64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AD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F1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08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24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6F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C4A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C0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FF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5A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3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5A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3DF9A63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D2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E81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Shareholders’ equity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14D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7C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13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80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28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5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3D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AE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07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22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F6BD57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62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AA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17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Common Stock Par/Carry Value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5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2,933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6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2,904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E7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2,863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0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2,765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4A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2,592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EA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2,121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4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1,774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9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1,283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D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1,066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9F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1,233</w:t>
            </w:r>
          </w:p>
        </w:tc>
      </w:tr>
      <w:tr w:rsidR="008740C8" w:rsidRPr="008740C8" w14:paraId="1D0D5ED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4B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661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5D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Treasury Stock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3A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-2,026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87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-1,124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6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-711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D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-153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9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B9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8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43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94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2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-200</w:t>
            </w:r>
          </w:p>
        </w:tc>
      </w:tr>
      <w:tr w:rsidR="008740C8" w:rsidRPr="008740C8" w14:paraId="43A53ACE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75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82C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10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Retained Earnings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64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2,349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7E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2,017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C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1,668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BC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1,265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85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1,233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6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5E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599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25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D5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8F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410</w:t>
            </w:r>
          </w:p>
        </w:tc>
      </w:tr>
      <w:tr w:rsidR="008740C8" w:rsidRPr="008740C8" w14:paraId="6812C368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5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9F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35B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Other Appropriated Reserves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7A2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4F70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8EF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E97D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E1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BF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2B47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1415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4B53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80C0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--</w:t>
            </w:r>
          </w:p>
        </w:tc>
      </w:tr>
      <w:tr w:rsidR="008740C8" w:rsidRPr="008740C8" w14:paraId="17412AF6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C9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D8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4AE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Total shareholders’ equity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01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3,224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EA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3,769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DC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3,813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B0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3,878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3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3,802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93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2,991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F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2,373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DD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1,629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2C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1,498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8B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1,443</w:t>
            </w:r>
          </w:p>
        </w:tc>
      </w:tr>
      <w:tr w:rsidR="008740C8" w:rsidRPr="008740C8" w14:paraId="33FA3E93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EB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CA0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FC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53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E4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02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8C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89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AE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2E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3E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5F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52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4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4B8A1CC" w14:textId="77777777" w:rsidTr="00324634">
        <w:trPr>
          <w:trHeight w:val="315"/>
        </w:trPr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4FB7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liabilities and shareholders’ equity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EFC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6,341.0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80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5,741.0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503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5,744.0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405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5,538.0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6AD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5,294.2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ADCB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4,292.1</w:t>
            </w:r>
          </w:p>
        </w:tc>
        <w:tc>
          <w:tcPr>
            <w:tcW w:w="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58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3,986.5</w:t>
            </w:r>
          </w:p>
        </w:tc>
        <w:tc>
          <w:tcPr>
            <w:tcW w:w="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09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3,371.0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82F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3,372.7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84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3,197.4</w:t>
            </w:r>
          </w:p>
        </w:tc>
      </w:tr>
      <w:tr w:rsidR="008740C8" w:rsidRPr="008740C8" w14:paraId="7E0FD344" w14:textId="77777777" w:rsidTr="00324634">
        <w:trPr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1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12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9D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BA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727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98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83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603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DE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2D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68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18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D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71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0744263" w14:textId="77777777" w:rsidTr="00324634">
        <w:trPr>
          <w:trHeight w:val="300"/>
        </w:trPr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B78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Invested Capital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86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5,000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0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4,489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B5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4,487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42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4,450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B8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4,317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1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3,413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AA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3,239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F0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2,687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CA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2,707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6E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2,413</w:t>
            </w:r>
          </w:p>
        </w:tc>
      </w:tr>
      <w:tr w:rsidR="008740C8" w:rsidRPr="008740C8" w14:paraId="4BF91E3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91F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FEA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C6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C2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A8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47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C3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DFC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24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76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6D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37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F2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E5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683EF5B8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39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93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B8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C9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A5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37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87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5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6E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77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51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BC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B1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D0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D334299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53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FF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48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31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766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029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FE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53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CA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FE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B1F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9C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EA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E9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35209B8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14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E2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2E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24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D2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02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B7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056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BDC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D7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2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95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BB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1F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BAD1B18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00A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Whole Foods Market, Inc.</w:t>
            </w:r>
          </w:p>
        </w:tc>
      </w:tr>
      <w:tr w:rsidR="008740C8" w:rsidRPr="008740C8" w14:paraId="1A26878F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8AF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Consolidated Statements of Operations</w:t>
            </w:r>
          </w:p>
        </w:tc>
      </w:tr>
      <w:tr w:rsidR="008740C8" w:rsidRPr="008740C8" w14:paraId="3E143813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573" w14:textId="2ABA4DC8" w:rsidR="008740C8" w:rsidRPr="008740C8" w:rsidRDefault="008740C8" w:rsidP="005F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Fiscal years ended September</w:t>
            </w:r>
            <w:r w:rsidR="005F52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30 of year indicated</w:t>
            </w:r>
          </w:p>
        </w:tc>
      </w:tr>
      <w:tr w:rsidR="008740C8" w:rsidRPr="008740C8" w14:paraId="3821E574" w14:textId="77777777" w:rsidTr="003246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EF0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(In millions, except per share amounts)</w:t>
            </w:r>
          </w:p>
        </w:tc>
      </w:tr>
      <w:tr w:rsidR="008740C8" w:rsidRPr="008740C8" w14:paraId="16D89888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BEF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CAA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27A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1AB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D74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4B0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1A98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E14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51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49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6C3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E5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75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29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05EEF7B7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32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0E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32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D0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C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E5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74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7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59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6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8E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4B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3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F7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</w:tr>
      <w:tr w:rsidR="008740C8" w:rsidRPr="008740C8" w14:paraId="02A2D1D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1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F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AD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Sales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BD4" w14:textId="6BEFCA85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15,724.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D73" w14:textId="129649CE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15,389.0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FC7" w14:textId="2A9A0E3F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14,194.0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E88" w14:textId="73215961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12,917.0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E0F" w14:textId="616EDDEA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11,698.8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972" w14:textId="754447A0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10,107.7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5A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9,005.79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C8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8,031.62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83B" w14:textId="14998F3F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7,953.9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154" w14:textId="7B9E8E8B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6,591.7</w:t>
            </w:r>
            <w:r w:rsidR="008740C8"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</w:tr>
      <w:tr w:rsidR="008740C8" w:rsidRPr="008740C8" w14:paraId="15F18FDF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A6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47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4B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70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C2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E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92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DB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F5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A03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E0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1A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19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9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632BFF2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E0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8D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97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Cost of Goods Sold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82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23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54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FA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E4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D2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4C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B3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3C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C2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4A35B9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0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68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A7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080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COGS (excluding SG&amp;A and D&amp;A)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565" w14:textId="6FC981DB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9,815.0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70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9,534.00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01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8,773.00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77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7,949.00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43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7,231.50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8C3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6,284.13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81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5,594.80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F0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5,010.62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B7F" w14:textId="2FE751C7" w:rsidR="008740C8" w:rsidRPr="008740C8" w:rsidRDefault="005F52DA" w:rsidP="005F52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4,997.9</w:t>
            </w:r>
            <w:r w:rsidR="008740C8"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A17" w14:textId="58AF0D38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F52DA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4,108.7</w:t>
            </w:r>
          </w:p>
        </w:tc>
      </w:tr>
      <w:tr w:rsidR="008740C8" w:rsidRPr="008740C8" w14:paraId="38BD63EF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5E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73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04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00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SG&amp;A Expense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07F" w14:textId="54124605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4,541.0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4D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4,457.00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209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4,099.00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40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3,734.00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D3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3,401.16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9D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2,979.42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FE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2,682.45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368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2,409.26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04A" w14:textId="04FD95A9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2,433.9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4B7A" w14:textId="67AF7E04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1,986.1</w:t>
            </w:r>
          </w:p>
        </w:tc>
      </w:tr>
      <w:tr w:rsidR="008740C8" w:rsidRPr="008740C8" w14:paraId="5B0B059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EC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90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0E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0E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Depreciation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F5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478.00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4D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422.00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B2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372.00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54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334.00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E0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305.15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0A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280.31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16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269.59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77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258.80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18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236.31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D8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183.69 </w:t>
            </w:r>
          </w:p>
        </w:tc>
      </w:tr>
      <w:tr w:rsidR="008740C8" w:rsidRPr="008740C8" w14:paraId="00F9ACA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11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A1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2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98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Amortization of Intangibles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F77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9D5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17.00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E78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5.00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011B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5.00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73F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6.40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C14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6.80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5B4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6.00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5E0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7.90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04F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12.90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4A1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2.70 </w:t>
            </w:r>
          </w:p>
        </w:tc>
      </w:tr>
      <w:tr w:rsidR="008740C8" w:rsidRPr="008740C8" w14:paraId="34B3D37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57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F2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F7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CC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Subtotal COGS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D90" w14:textId="103668D3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14,854.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FD08" w14:textId="60013FF3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14,430.0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64D" w14:textId="1D15F2D6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13,249.0</w:t>
            </w: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E55" w14:textId="5688672D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12,022.0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BDB" w14:textId="5A86BBD9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10,944.2</w:t>
            </w: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D9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9,550.66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FF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8,552.84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D9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7,686.57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DEE5" w14:textId="30831B92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7,681.1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D65" w14:textId="5003516D" w:rsidR="008740C8" w:rsidRPr="008740C8" w:rsidRDefault="005F52DA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6,281.3</w:t>
            </w:r>
          </w:p>
        </w:tc>
      </w:tr>
      <w:tr w:rsidR="008740C8" w:rsidRPr="008740C8" w14:paraId="5788C4FA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4C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BA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3B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FA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D7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1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4F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F8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2F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64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1A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02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78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06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683E183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1C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6C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20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EBIT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9C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870.00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DE4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959.00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BF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945.00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2B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895.00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99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754.62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16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557.13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B0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452.95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EB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345.05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81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272.78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E7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310.45 </w:t>
            </w:r>
          </w:p>
        </w:tc>
      </w:tr>
      <w:tr w:rsidR="008740C8" w:rsidRPr="008740C8" w14:paraId="4B0CEB8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18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13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6E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8C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61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FC3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5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2B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12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E3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7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89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BD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6C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71F19C8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85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02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10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8FC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Non-Operating Income Net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A5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11.00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66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17.00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BD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12.00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ED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11.00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96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8.89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11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7.77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6F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(14.85)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1B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(10.95)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6E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6.70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66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11.32 </w:t>
            </w:r>
          </w:p>
        </w:tc>
      </w:tr>
      <w:tr w:rsidR="008740C8" w:rsidRPr="008740C8" w14:paraId="2E925127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D6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64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B6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D9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Interest Expense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D7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41.00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16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--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62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6E1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4B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0.35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E6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3.68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0E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11.35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05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22.46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A6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36.42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C6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4.21 </w:t>
            </w:r>
          </w:p>
        </w:tc>
      </w:tr>
      <w:tr w:rsidR="008740C8" w:rsidRPr="008740C8" w14:paraId="6BA7EF5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36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9C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6F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E29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Unusual Expense - Net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101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13.00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8D5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98.00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9F88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11.00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310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12.00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EAD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11.11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A89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9.51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D5E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14.98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22A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60.70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69CA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36.55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CF6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13.00 </w:t>
            </w:r>
          </w:p>
        </w:tc>
      </w:tr>
      <w:tr w:rsidR="008740C8" w:rsidRPr="008740C8" w14:paraId="23CE8C3A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51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A2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F2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3F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9C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9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C1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8F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4F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A6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97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21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E4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2E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6F904DF4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22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E2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B1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Pretax Income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DF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827.00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08B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878.00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1A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946.00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A3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894.00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9D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752.04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EF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551.71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CC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411.78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CC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250.94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10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206.52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E4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304.57 </w:t>
            </w:r>
          </w:p>
        </w:tc>
      </w:tr>
      <w:tr w:rsidR="008740C8" w:rsidRPr="008740C8" w14:paraId="5F8F863B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10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47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03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EC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AB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6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F0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F5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8F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1E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8E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59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98F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31C07BF3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B4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D6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75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86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Income Taxes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DBE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320.00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61D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342.00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4EC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367.00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ABE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343.00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3EF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286.47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9FD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209.10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C1B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165.95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F149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104.14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207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92.00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BB9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121.83 </w:t>
            </w:r>
          </w:p>
        </w:tc>
      </w:tr>
      <w:tr w:rsidR="008740C8" w:rsidRPr="008740C8" w14:paraId="353612E7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DB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C8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8B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13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0C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04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DC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14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EED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02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CB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1C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D6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38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2B5ADC2" w14:textId="77777777" w:rsidTr="00324634">
        <w:trPr>
          <w:trHeight w:val="3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5B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A4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479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Net Income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4F0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507.00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CC8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536.00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37D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579.00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73B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551.00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402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465.57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E2E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342.61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628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245.83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7C8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146.80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3CA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114.52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7BFC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182.74 </w:t>
            </w:r>
          </w:p>
        </w:tc>
      </w:tr>
      <w:tr w:rsidR="008740C8" w:rsidRPr="008740C8" w14:paraId="590667EC" w14:textId="77777777" w:rsidTr="00324634">
        <w:trPr>
          <w:trHeight w:val="3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23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B6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0F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5D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EB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5D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6D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A3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6A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5B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AE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E4F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CC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B5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38784F4C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D1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54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69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Preferred Dividends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84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E5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00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F2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92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F9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  - 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5F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5.48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34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28.05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E0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- 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1D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-   </w:t>
            </w:r>
          </w:p>
        </w:tc>
      </w:tr>
      <w:tr w:rsidR="008740C8" w:rsidRPr="008740C8" w14:paraId="363D30E3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C1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0A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C0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Common Dividends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34E7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171.88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E10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181.43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8D5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172.99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783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148.96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2E9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103.84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5C0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71.55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1D7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-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2CE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    -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696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84.17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D6E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100.25 </w:t>
            </w:r>
          </w:p>
        </w:tc>
      </w:tr>
      <w:tr w:rsidR="008740C8" w:rsidRPr="008740C8" w14:paraId="53F78698" w14:textId="77777777" w:rsidTr="00324634">
        <w:trPr>
          <w:trHeight w:val="3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D8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94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B3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Retained Earnings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7911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335.12 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4BB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354.57 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967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406.01 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88D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402.04 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F8C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361.73 </w:t>
            </w:r>
          </w:p>
        </w:tc>
        <w:tc>
          <w:tcPr>
            <w:tcW w:w="3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698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271.06 </w:t>
            </w:r>
          </w:p>
        </w:tc>
        <w:tc>
          <w:tcPr>
            <w:tcW w:w="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DA61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240.35 </w:t>
            </w:r>
          </w:p>
        </w:tc>
        <w:tc>
          <w:tcPr>
            <w:tcW w:w="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68FC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118.75 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DB1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30.35 </w:t>
            </w:r>
          </w:p>
        </w:tc>
        <w:tc>
          <w:tcPr>
            <w:tcW w:w="3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FF5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  82.49 </w:t>
            </w:r>
          </w:p>
        </w:tc>
      </w:tr>
      <w:tr w:rsidR="008740C8" w:rsidRPr="008740C8" w14:paraId="68DE76CE" w14:textId="77777777" w:rsidTr="00324634">
        <w:trPr>
          <w:trHeight w:val="3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4D3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A2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C3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E8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A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9B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C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DB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34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7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A8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2D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F1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62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8F4DB4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CF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A7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1D5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Average tax rate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C9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38.69%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2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38.95%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C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38.79%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E2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38.37%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F82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38.09%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BC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37.90%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64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40.30%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07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41.50%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52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44.55%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54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40.00%</w:t>
            </w:r>
          </w:p>
        </w:tc>
      </w:tr>
      <w:tr w:rsidR="008740C8" w:rsidRPr="008740C8" w14:paraId="0B1F86F6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1A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1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A1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47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C1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76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7E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BE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1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14F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65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AA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88A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4A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7915045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DC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C6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CB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E2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F7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55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A1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8D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C0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36E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96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A7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C3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6E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EABA731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1E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89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04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E0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6C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FC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95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0E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A9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2C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43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46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6E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17D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9B38D87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33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A5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5EB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7D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6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3A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2C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4B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8B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BD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D0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F7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FB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AA0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50EDF75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17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A29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81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AD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3C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CA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B0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27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2A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33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71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2F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11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D1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16BC8F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EE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4FC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Profitability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52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1E2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92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30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D2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DF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99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48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B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77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</w:tr>
      <w:tr w:rsidR="008740C8" w:rsidRPr="008740C8" w14:paraId="746AD252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AB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CF7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CD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Gross Margin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CE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34.41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4B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35.19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40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35.54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9E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35.84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11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35.52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B5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34.99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3C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34.82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8E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12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2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34.84</w:t>
            </w:r>
          </w:p>
        </w:tc>
      </w:tr>
      <w:tr w:rsidR="008740C8" w:rsidRPr="008740C8" w14:paraId="58EF897E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4C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33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D8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SG&amp;A to Sales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6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28.88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B2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28.96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12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28.88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C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28.91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3D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29.07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E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29.48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33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29.79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83C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5A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30.60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6D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30.13</w:t>
            </w:r>
          </w:p>
        </w:tc>
      </w:tr>
      <w:tr w:rsidR="008740C8" w:rsidRPr="008740C8" w14:paraId="3D974187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3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8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DB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Operating Margin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9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5.53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EC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6.23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E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6.66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C7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87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6.45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C5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5.51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38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5.03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D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5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77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4.71</w:t>
            </w:r>
          </w:p>
        </w:tc>
      </w:tr>
      <w:tr w:rsidR="008740C8" w:rsidRPr="008740C8" w14:paraId="2FA02BA7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4F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77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6E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Pretax Margin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D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E3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5.71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29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6.66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50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7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6.43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16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5.46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C7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4.57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D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17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3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4.62</w:t>
            </w:r>
          </w:p>
        </w:tc>
      </w:tr>
      <w:tr w:rsidR="008740C8" w:rsidRPr="008740C8" w14:paraId="6577C205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5F8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71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4A2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Net Margin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28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B4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3.48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F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4.08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A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4.27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2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3.98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C3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3.39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8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2.73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5E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31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8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2.77</w:t>
            </w:r>
          </w:p>
        </w:tc>
      </w:tr>
      <w:tr w:rsidR="008740C8" w:rsidRPr="008740C8" w14:paraId="277083A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70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8A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402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Free Cash Flow Margin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D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2.54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90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1.81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35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2.66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CB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6.28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5B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3.96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5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3.86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86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3.65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C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CD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-2.47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047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color w:val="FF0000"/>
                <w:sz w:val="18"/>
                <w:szCs w:val="18"/>
              </w:rPr>
              <w:t>-1.99</w:t>
            </w:r>
          </w:p>
        </w:tc>
      </w:tr>
      <w:tr w:rsidR="008740C8" w:rsidRPr="008740C8" w14:paraId="3DFB3189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E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8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55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Return on Assets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D5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8.39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32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9.33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0F3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F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DE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9.71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6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8.28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2A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6.33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0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93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A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6.95</w:t>
            </w:r>
          </w:p>
        </w:tc>
      </w:tr>
      <w:tr w:rsidR="008740C8" w:rsidRPr="008740C8" w14:paraId="30403F6C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D1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AE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B8B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Return on Equity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09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CA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14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15.06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528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17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13.71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4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12.77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D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11.14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B3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FC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7.73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CE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12.77</w:t>
            </w:r>
          </w:p>
        </w:tc>
      </w:tr>
      <w:tr w:rsidR="008740C8" w:rsidRPr="008740C8" w14:paraId="6C96626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12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DC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F5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Return on Common Equity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FDC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44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C3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15.06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09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6B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13.71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EA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12.77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24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3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7.58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CF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7.73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87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12.77</w:t>
            </w:r>
          </w:p>
        </w:tc>
      </w:tr>
      <w:tr w:rsidR="008740C8" w:rsidRPr="008740C8" w14:paraId="3F06DDBE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5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F1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8C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Return on Total Capital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08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7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81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0E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14.25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4D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13.62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31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11.63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02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8.68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5E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6C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73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10.06</w:t>
            </w:r>
          </w:p>
        </w:tc>
      </w:tr>
      <w:tr w:rsidR="008740C8" w:rsidRPr="008740C8" w14:paraId="7A878FB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B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FB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B0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Return on Invested Capital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DB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12.51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D0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AE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3A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C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13.62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E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11.63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28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8.68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9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3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1A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10.13</w:t>
            </w:r>
          </w:p>
        </w:tc>
      </w:tr>
      <w:tr w:rsidR="008740C8" w:rsidRPr="008740C8" w14:paraId="06FC7A69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8F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12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8B8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Cash Flow Return on Invested Capital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01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27.55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7C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29.31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540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27.98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4B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26.11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8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26.91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4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25.63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414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20.68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2B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22.54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6E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A3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22.10</w:t>
            </w:r>
          </w:p>
        </w:tc>
      </w:tr>
      <w:tr w:rsidR="008740C8" w:rsidRPr="008740C8" w14:paraId="3D0F5FC9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C6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A0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8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8E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099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D5F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4B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8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1A6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52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B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EE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01D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FF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389C8A4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6B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185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Ratios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E28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E8E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4D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72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6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EC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9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22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88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3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A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</w:tr>
      <w:tr w:rsidR="008740C8" w:rsidRPr="008740C8" w14:paraId="753E1FD6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19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95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52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Price/Sales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DC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5D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F8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0.98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9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1.69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3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1.54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201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1.20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23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0.71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C6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D7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E3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1.05</w:t>
            </w:r>
          </w:p>
        </w:tc>
      </w:tr>
      <w:tr w:rsidR="008740C8" w:rsidRPr="008740C8" w14:paraId="73781F2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8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B1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CD4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Price/Earnings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68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18.40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9F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21.01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7D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24.15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3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39.68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11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38.65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2D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35.34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16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25.92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50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33.85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5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25.17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10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37.95</w:t>
            </w:r>
          </w:p>
        </w:tc>
      </w:tr>
      <w:tr w:rsidR="008740C8" w:rsidRPr="008740C8" w14:paraId="141F6E50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54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D1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2D36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Price/Book Value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BF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2.82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D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2.88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E2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75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7B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4.75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72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5B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2.69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42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F3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54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4.67</w:t>
            </w:r>
          </w:p>
        </w:tc>
      </w:tr>
      <w:tr w:rsidR="008740C8" w:rsidRPr="008740C8" w14:paraId="724BD18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92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94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B65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Price/Tangible Book Value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3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D5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3.64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805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4.49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B0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1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38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5.40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D9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3.89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2F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4.51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E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3.77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CB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9.85</w:t>
            </w:r>
          </w:p>
        </w:tc>
      </w:tr>
      <w:tr w:rsidR="008740C8" w:rsidRPr="008740C8" w14:paraId="33526D7C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E5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E6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A8E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Price/Cash Flow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DA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5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9.94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0A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12.83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0F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21.65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220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19.53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B8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16.02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7E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10.88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B12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36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AD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17.42</w:t>
            </w:r>
          </w:p>
        </w:tc>
      </w:tr>
      <w:tr w:rsidR="008740C8" w:rsidRPr="008740C8" w14:paraId="6C36E841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9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3AB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EC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Price/Free Cash Flow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2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23.31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1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40.36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66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36.92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72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26.94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D2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38.76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11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31.01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4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19.38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301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14.79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D4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--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747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--</w:t>
            </w:r>
          </w:p>
        </w:tc>
      </w:tr>
      <w:tr w:rsidR="008740C8" w:rsidRPr="008740C8" w14:paraId="1486E9CE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12C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CB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5A0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Dividend Yield (%)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E0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C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1.67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6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1.27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2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0.69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96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A7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69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4D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3F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2.91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1C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1.47</w:t>
            </w:r>
          </w:p>
        </w:tc>
      </w:tr>
      <w:tr w:rsidR="008740C8" w:rsidRPr="008740C8" w14:paraId="3F23837A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F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B6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48D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Enterprise Value/EBIT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6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10.60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FF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11.04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64F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C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23.10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FA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22.21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7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19.66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B8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58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14.31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3E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13.59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CE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24.40</w:t>
            </w:r>
          </w:p>
        </w:tc>
      </w:tr>
      <w:tr w:rsidR="008740C8" w:rsidRPr="008740C8" w14:paraId="17089D19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A5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52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CB8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Enterprise Value/EBITDA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94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6.74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51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7.57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C9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9.79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E9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16.76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F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15.72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D5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12.98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17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8.71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4AA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8.07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94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7.10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85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15.25</w:t>
            </w:r>
          </w:p>
        </w:tc>
      </w:tr>
      <w:tr w:rsidR="008740C8" w:rsidRPr="008740C8" w14:paraId="437B2BB5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7C3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D7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C2A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Enterprise Value/Sales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F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0.59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9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0.69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A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50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42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1.43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6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52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3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6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AC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1.15</w:t>
            </w:r>
          </w:p>
        </w:tc>
      </w:tr>
      <w:tr w:rsidR="008740C8" w:rsidRPr="008740C8" w14:paraId="52CC52CD" w14:textId="77777777" w:rsidTr="00324634">
        <w:trPr>
          <w:trHeight w:val="33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00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1FA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CAF" w14:textId="77777777" w:rsidR="008740C8" w:rsidRPr="008740C8" w:rsidRDefault="008740C8" w:rsidP="008740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Total Debt/Enterprise Value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F7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0.11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2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E7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D5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28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74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0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C96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34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71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740C8">
              <w:rPr>
                <w:rFonts w:ascii="Trebuchet MS" w:eastAsia="Times New Roman" w:hAnsi="Trebuchet MS" w:cs="Times New Roman"/>
                <w:sz w:val="18"/>
                <w:szCs w:val="18"/>
              </w:rPr>
              <w:t>0.10</w:t>
            </w:r>
          </w:p>
        </w:tc>
      </w:tr>
      <w:tr w:rsidR="008740C8" w:rsidRPr="008740C8" w14:paraId="69E2E80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F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95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F7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D8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91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2D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41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D8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D7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BA8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83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46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20D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49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9C499FC" w14:textId="77777777" w:rsidTr="00324634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ED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3D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23F" w14:textId="77777777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>Enterprise Value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302" w14:textId="6A64104A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9,222.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837" w14:textId="5E88D02C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10,588.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16E" w14:textId="2DE624DB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12,944.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E93" w14:textId="31E4CF14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20,678.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70F" w14:textId="2AED5064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16,762.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A5B" w14:textId="2CF73311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10,954.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ADB" w14:textId="140909D1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6,344.3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D70" w14:textId="24B133C2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4,936.2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80D" w14:textId="5F40D1D3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3,707.9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490" w14:textId="277C221F" w:rsidR="008740C8" w:rsidRPr="008740C8" w:rsidRDefault="008740C8" w:rsidP="00874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7,575.7</w:t>
            </w:r>
            <w:r w:rsidRPr="008740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6035B4D5" w14:textId="77777777" w:rsidR="008740C8" w:rsidRDefault="008740C8" w:rsidP="008740C8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9"/>
        <w:gridCol w:w="1218"/>
        <w:gridCol w:w="1413"/>
        <w:gridCol w:w="1413"/>
        <w:gridCol w:w="1413"/>
        <w:gridCol w:w="1122"/>
        <w:gridCol w:w="1122"/>
      </w:tblGrid>
      <w:tr w:rsidR="008740C8" w:rsidRPr="008740C8" w14:paraId="2F2DE421" w14:textId="77777777" w:rsidTr="008740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BBB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Foods Market, Inc.</w:t>
            </w:r>
          </w:p>
        </w:tc>
      </w:tr>
      <w:tr w:rsidR="008740C8" w:rsidRPr="008740C8" w14:paraId="1A91F72D" w14:textId="77777777" w:rsidTr="008740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EBF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WFM   966837106   2963899   NASDAQ    Common stock    </w:t>
            </w:r>
          </w:p>
        </w:tc>
      </w:tr>
      <w:tr w:rsidR="008740C8" w:rsidRPr="008740C8" w14:paraId="3FBB8C83" w14:textId="77777777" w:rsidTr="008740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F41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Analyst Consensus Estimates</w:t>
            </w:r>
          </w:p>
        </w:tc>
      </w:tr>
      <w:tr w:rsidR="008740C8" w:rsidRPr="008740C8" w14:paraId="3A45059A" w14:textId="77777777" w:rsidTr="008740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6A6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Fiscal Year End of Periods Noted</w:t>
            </w:r>
          </w:p>
        </w:tc>
      </w:tr>
      <w:tr w:rsidR="008740C8" w:rsidRPr="008740C8" w14:paraId="3C92B354" w14:textId="77777777" w:rsidTr="008740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0BD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Values in Millions</w:t>
            </w:r>
          </w:p>
        </w:tc>
      </w:tr>
      <w:tr w:rsidR="008740C8" w:rsidRPr="008740C8" w14:paraId="199C9942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ED8" w14:textId="77777777" w:rsidR="008740C8" w:rsidRPr="008740C8" w:rsidRDefault="008740C8" w:rsidP="0087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2CD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F6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CA8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DE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AE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AF9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A587F6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04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Industry Metrics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D8B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4F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F9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62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E9B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889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F5FC45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3B2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Same Store Sales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3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C4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5F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0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6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3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2.0</w:t>
            </w:r>
          </w:p>
        </w:tc>
      </w:tr>
      <w:tr w:rsidR="008740C8" w:rsidRPr="008740C8" w14:paraId="58982903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A6E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Net Sales per Retail Sq. Ft.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E7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915.1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9A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883.2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61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869.6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C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901.3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7E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909.3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FC7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660565D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260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Selling Space Sq. Ft. (Gross)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85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21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18.6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67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19.5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0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20.2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78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21.2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D3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2847E69E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CA0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# Stores at Period End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568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5F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6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F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B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543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81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549</w:t>
            </w:r>
          </w:p>
        </w:tc>
      </w:tr>
      <w:tr w:rsidR="008740C8" w:rsidRPr="008740C8" w14:paraId="6AA6917B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593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# Stores Closed During Period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1D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F9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3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C6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B0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A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7C4F6FB4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C0B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# Stores Opened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C1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D9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8D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C3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6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FC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190C562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61D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# Stores Relocated During Period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4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301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84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6C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15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7C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2637E06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014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Identical Store Sales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7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1A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26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04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AE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A7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7001A7A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1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8B4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A90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07F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4DE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359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573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5DB7E688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6F0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 Statement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AF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3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9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86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D8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7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8740C8" w:rsidRPr="008740C8" w14:paraId="5ECFFA42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A96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E0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15,724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3C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15,938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BE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16,526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D3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17,062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5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18,002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B8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18,148</w:t>
            </w:r>
          </w:p>
        </w:tc>
      </w:tr>
      <w:tr w:rsidR="008740C8" w:rsidRPr="008740C8" w14:paraId="32332625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13B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Cost of Sales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C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10,314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0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10,531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0D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11,013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5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11,471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25D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12,079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8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12,163</w:t>
            </w:r>
          </w:p>
        </w:tc>
      </w:tr>
      <w:tr w:rsidR="008740C8" w:rsidRPr="008740C8" w14:paraId="21EC8687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8E6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Gross Income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92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5,411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E4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5,403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DB1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5,557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70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5,742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8D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5,986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D3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5,985</w:t>
            </w:r>
          </w:p>
        </w:tc>
      </w:tr>
      <w:tr w:rsidR="008740C8" w:rsidRPr="008740C8" w14:paraId="22A9E88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792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EBITDA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D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1,355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F4D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1,298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B6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1,330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E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1,284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15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1,509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58F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1,464</w:t>
            </w:r>
          </w:p>
        </w:tc>
      </w:tr>
      <w:tr w:rsidR="008740C8" w:rsidRPr="008740C8" w14:paraId="285AE62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91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Depreciation and Amortization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1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FA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CF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79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A9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685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B8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</w:tr>
      <w:tr w:rsidR="008740C8" w:rsidRPr="008740C8" w14:paraId="29C947F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65E0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Operating Income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32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FA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6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38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5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824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63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</w:tr>
      <w:tr w:rsidR="008740C8" w:rsidRPr="008740C8" w14:paraId="4ECF3D0D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8C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Interest Expense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6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BB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7F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6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22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8B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8740C8" w:rsidRPr="008740C8" w14:paraId="652D207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3D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Pretax Income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6E4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827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C2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3E0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682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2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6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82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</w:tr>
      <w:tr w:rsidR="008740C8" w:rsidRPr="008740C8" w14:paraId="10E0DF8D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FD4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Tax Expense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4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F1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F8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EF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77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8B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</w:tr>
      <w:tr w:rsidR="008740C8" w:rsidRPr="008740C8" w14:paraId="1B9FC11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C7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Net Income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B76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86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7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47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3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27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</w:tr>
      <w:tr w:rsidR="008740C8" w:rsidRPr="008740C8" w14:paraId="1CAA3D0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74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342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6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8B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7DD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C2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59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32EA348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1F76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 Sheet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26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4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F4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02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06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A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8740C8" w:rsidRPr="008740C8" w14:paraId="55BE892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C9C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Current Assets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4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1,975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D4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8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2,393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95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2,130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6F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2,592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0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2,442</w:t>
            </w:r>
          </w:p>
        </w:tc>
      </w:tr>
      <w:tr w:rsidR="008740C8" w:rsidRPr="008740C8" w14:paraId="3EFAB43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E3E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Current Liabilities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F8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1,341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D1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1,360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40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1,440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E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1,426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16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1,520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27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1,572</w:t>
            </w:r>
          </w:p>
        </w:tc>
      </w:tr>
      <w:tr w:rsidR="008740C8" w:rsidRPr="008740C8" w14:paraId="5B08D722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EE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Fixed Assets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8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4,366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A0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4,473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6B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4,623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80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4,733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E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4,705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521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4,640</w:t>
            </w:r>
          </w:p>
        </w:tc>
      </w:tr>
      <w:tr w:rsidR="008740C8" w:rsidRPr="008740C8" w14:paraId="42EEC52B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0D2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Total Assets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009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6,341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4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6,639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AA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356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6,863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0E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7,297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A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7,082</w:t>
            </w:r>
          </w:p>
        </w:tc>
      </w:tr>
      <w:tr w:rsidR="008740C8" w:rsidRPr="008740C8" w14:paraId="1840A5B5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78C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Total Debt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9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1,691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B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1,506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7E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1,166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7A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1,414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4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1,414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86A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8740C8" w:rsidRPr="008740C8" w14:paraId="0C1E5C9D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4B8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Intangible Assets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0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E2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C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D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F7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2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8740C8" w:rsidRPr="008740C8" w14:paraId="65C1BB28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D5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Total Goodwill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5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4C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69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33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1,042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8C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1,222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91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</w:tr>
      <w:tr w:rsidR="008740C8" w:rsidRPr="008740C8" w14:paraId="04F79CD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B6A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Net Debt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923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8F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3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A2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8F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18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8740C8" w:rsidRPr="008740C8" w14:paraId="019C5026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259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Shareholder Equity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F4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3,224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E6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3,453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B4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3,729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10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3,629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41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3,934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A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8740C8" w:rsidRPr="008740C8" w14:paraId="109B34B3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52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16A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6B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D3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9F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FD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D47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1359F06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B7B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Invested Capital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DD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4,915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20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4,959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273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4,895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70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5,042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68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5,347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D2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0C8" w:rsidRPr="008740C8" w14:paraId="322737F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25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3C7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7E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8B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5B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480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6B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ECC196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F23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Cash Flow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93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3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37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88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0A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AC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8740C8" w:rsidRPr="008740C8" w14:paraId="3D125B7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82D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Capital Expenditures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07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5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682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63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652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B6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641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FE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708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5E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726</w:t>
            </w:r>
          </w:p>
        </w:tc>
      </w:tr>
      <w:tr w:rsidR="008740C8" w:rsidRPr="008740C8" w14:paraId="3DDE841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B1D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Free Cash Flow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9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2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C0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C6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488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EB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EE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3F7E194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9BA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Cash Flow from Operations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BD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1,116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F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1,094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2B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1,111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E2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1,148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C5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1,232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C5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1,265</w:t>
            </w:r>
          </w:p>
        </w:tc>
      </w:tr>
      <w:tr w:rsidR="008740C8" w:rsidRPr="008740C8" w14:paraId="0BEAB544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D77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Cash Flow from Investing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BA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-895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EC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-704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7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-788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44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-686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FB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-700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A1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-726</w:t>
            </w:r>
          </w:p>
        </w:tc>
      </w:tr>
      <w:tr w:rsidR="008740C8" w:rsidRPr="008740C8" w14:paraId="0EF742F3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F8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Cash Flow from Financing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11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-113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E3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64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-190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2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-582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E9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E2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-722</w:t>
            </w:r>
          </w:p>
        </w:tc>
      </w:tr>
      <w:tr w:rsidR="008740C8" w:rsidRPr="008740C8" w14:paraId="55836916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398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Share Repurchase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45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732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B2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A6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69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9E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2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08CCFD32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10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8C5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EC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5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ED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48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4C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7845AAA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069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Earnings Per Share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2D4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53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09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1B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2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E9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8740C8" w:rsidRPr="008740C8" w14:paraId="020504BE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9D0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EPS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7D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32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E0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1.34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5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1.39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E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1.54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9F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1.50</w:t>
            </w:r>
          </w:p>
        </w:tc>
      </w:tr>
      <w:tr w:rsidR="008740C8" w:rsidRPr="008740C8" w14:paraId="4835AF4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1D1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Dividends per Share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98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15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0.57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EA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0.58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F5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01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C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22B93E28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3F8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Cash Flow per Share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5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3.21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E1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3.20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99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3.20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4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38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13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65702DFC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7B4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Book Value per Share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FB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9.89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83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10.53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96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11.75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37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11.41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42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BD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16024368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D5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E11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A2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19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99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7BC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AF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0E69E57B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8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Valuation Metrics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A4F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6C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55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D1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01E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7D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4AEEF3E5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D6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Price/Earnings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C78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37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25.3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3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25.0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AD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24.2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E0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21.7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5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22.4</w:t>
            </w:r>
          </w:p>
        </w:tc>
      </w:tr>
      <w:tr w:rsidR="008740C8" w:rsidRPr="008740C8" w14:paraId="7E6F8C1A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22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PEG Ratio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A0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C5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AC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50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E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A6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4.5</w:t>
            </w:r>
          </w:p>
        </w:tc>
      </w:tr>
      <w:tr w:rsidR="008740C8" w:rsidRPr="008740C8" w14:paraId="3DEB17B8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21A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Price/Book Value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E4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816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EF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DA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C7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54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6789A137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908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Price/Tangible Book Value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5F7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AB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56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CD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22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8B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1F38B9AA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D8C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Price/Cash Flow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34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FA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10.5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69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10.5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C1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11.5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F24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78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70BC9190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484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Price/Free Cash Flow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9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74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28.5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83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25.5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BB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20.0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BB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5C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0403F0A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2D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Price/Sales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00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ED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55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ED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61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0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0.6</w:t>
            </w:r>
          </w:p>
        </w:tc>
      </w:tr>
      <w:tr w:rsidR="008740C8" w:rsidRPr="008740C8" w14:paraId="6B25EA79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FF9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Enterprise Value/Sales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859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6D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CC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0B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0.7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7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48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12C32095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3B8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Enterprise Value/EBITDA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62B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B2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8.6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46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8.3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CE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8.7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F1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D1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70ADD70A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CF7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Enterprise Value/EBIT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95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81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15.2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CD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15.2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AD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15.2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6C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07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27833B1B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D9D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Enterprise Value/FCF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7E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B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27.5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C9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26.6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7B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22.9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EF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DD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4779AF01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CC7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Dividend Yield (%)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38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22C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D6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85E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9B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39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3ECD47BF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035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Sales/Share (x)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8B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49.3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91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50.0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38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51.9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16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53.6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7E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56.5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22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57.0</w:t>
            </w:r>
          </w:p>
        </w:tc>
      </w:tr>
      <w:tr w:rsidR="008740C8" w:rsidRPr="008740C8" w14:paraId="1A31771A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5036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Return on Assets (ROA) (%)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20C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EE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6.3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14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2F5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1A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6.4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AE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5.9</w:t>
            </w:r>
          </w:p>
        </w:tc>
      </w:tr>
      <w:tr w:rsidR="008740C8" w:rsidRPr="008740C8" w14:paraId="6A22F3FE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959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Return on Equity (ROE) (%)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1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9E6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12.6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933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20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12.2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578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A67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color w:val="996633"/>
                <w:sz w:val="20"/>
                <w:szCs w:val="20"/>
              </w:rPr>
              <w:t>--</w:t>
            </w:r>
          </w:p>
        </w:tc>
      </w:tr>
      <w:tr w:rsidR="008740C8" w:rsidRPr="008740C8" w14:paraId="66ED1ABD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86A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6633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EFC" w14:textId="77777777" w:rsidR="008740C8" w:rsidRPr="008740C8" w:rsidRDefault="008740C8" w:rsidP="008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9A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3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62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0C1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430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0C8" w:rsidRPr="008740C8" w14:paraId="263F5EE3" w14:textId="77777777" w:rsidTr="008740C8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4AE" w14:textId="77777777" w:rsidR="008740C8" w:rsidRPr="008740C8" w:rsidRDefault="008740C8" w:rsidP="0087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Enterprise Value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FE4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9,359.1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F02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11,147.1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101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11,051.4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A6B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0C8">
              <w:rPr>
                <w:rFonts w:ascii="Arial" w:eastAsia="Times New Roman" w:hAnsi="Arial" w:cs="Arial"/>
                <w:sz w:val="20"/>
                <w:szCs w:val="20"/>
              </w:rPr>
              <w:t>11,193.7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0DCF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09D" w14:textId="77777777" w:rsidR="008740C8" w:rsidRPr="008740C8" w:rsidRDefault="008740C8" w:rsidP="0087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38CF94" w14:textId="7DC93B60" w:rsidR="00D95D46" w:rsidRDefault="00D95D46" w:rsidP="008740C8">
      <w:pPr>
        <w:rPr>
          <w:b/>
        </w:rPr>
      </w:pPr>
      <w:r w:rsidRPr="00D95D46">
        <w:rPr>
          <w:b/>
        </w:rPr>
        <w:t xml:space="preserve"> </w:t>
      </w:r>
    </w:p>
    <w:p w14:paraId="31803510" w14:textId="77777777" w:rsidR="005A4C77" w:rsidRDefault="005A4C77"/>
    <w:sectPr w:rsidR="005A4C77" w:rsidSect="00D95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F117" w14:textId="77777777" w:rsidR="00990F07" w:rsidRDefault="00990F07" w:rsidP="00D95D46">
      <w:pPr>
        <w:spacing w:after="0" w:line="240" w:lineRule="auto"/>
      </w:pPr>
      <w:r>
        <w:separator/>
      </w:r>
    </w:p>
  </w:endnote>
  <w:endnote w:type="continuationSeparator" w:id="0">
    <w:p w14:paraId="4BF4D704" w14:textId="77777777" w:rsidR="00990F07" w:rsidRDefault="00990F07" w:rsidP="00D9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FE874" w14:textId="77777777" w:rsidR="00990F07" w:rsidRDefault="00990F07" w:rsidP="00D95D46">
      <w:pPr>
        <w:spacing w:after="0" w:line="240" w:lineRule="auto"/>
      </w:pPr>
      <w:r>
        <w:separator/>
      </w:r>
    </w:p>
  </w:footnote>
  <w:footnote w:type="continuationSeparator" w:id="0">
    <w:p w14:paraId="6A565161" w14:textId="77777777" w:rsidR="00990F07" w:rsidRDefault="00990F07" w:rsidP="00D95D46">
      <w:pPr>
        <w:spacing w:after="0" w:line="240" w:lineRule="auto"/>
      </w:pPr>
      <w:r>
        <w:continuationSeparator/>
      </w:r>
    </w:p>
  </w:footnote>
  <w:footnote w:id="1">
    <w:p w14:paraId="3B755359" w14:textId="382258F2" w:rsidR="00990F07" w:rsidRPr="00D95D46" w:rsidRDefault="00990F07">
      <w:pPr>
        <w:pStyle w:val="FootnoteText"/>
        <w:rPr>
          <w:sz w:val="16"/>
          <w:szCs w:val="16"/>
        </w:rPr>
      </w:pPr>
      <w:r w:rsidRPr="00D95D46">
        <w:rPr>
          <w:rStyle w:val="FootnoteReference"/>
          <w:sz w:val="16"/>
          <w:szCs w:val="16"/>
        </w:rPr>
        <w:footnoteRef/>
      </w:r>
      <w:r w:rsidRPr="00D95D46">
        <w:rPr>
          <w:sz w:val="16"/>
          <w:szCs w:val="16"/>
        </w:rPr>
        <w:t xml:space="preserve"> This problem set is for illustrative purposes only and in no way suggests or infers any relationship or association with Whole Foods Markets, a publically held domestic firm trading in the US capital markets.  The data used in the problem set is culled from the Whole Foods 201</w:t>
      </w:r>
      <w:r>
        <w:rPr>
          <w:sz w:val="16"/>
          <w:szCs w:val="16"/>
        </w:rPr>
        <w:t>6</w:t>
      </w:r>
      <w:r w:rsidRPr="00D95D46">
        <w:rPr>
          <w:sz w:val="16"/>
          <w:szCs w:val="16"/>
        </w:rPr>
        <w:t xml:space="preserve"> Annual Report</w:t>
      </w:r>
      <w:r>
        <w:rPr>
          <w:sz w:val="16"/>
          <w:szCs w:val="16"/>
        </w:rPr>
        <w:t xml:space="preserve">, </w:t>
      </w:r>
      <w:proofErr w:type="spellStart"/>
      <w:r w:rsidRPr="00D95D46">
        <w:rPr>
          <w:sz w:val="16"/>
          <w:szCs w:val="16"/>
        </w:rPr>
        <w:t>FactSet</w:t>
      </w:r>
      <w:proofErr w:type="spellEnd"/>
      <w:r>
        <w:rPr>
          <w:sz w:val="16"/>
          <w:szCs w:val="16"/>
        </w:rPr>
        <w:t>, Bloomberg Systems, Inc.</w:t>
      </w:r>
    </w:p>
  </w:footnote>
  <w:footnote w:id="2">
    <w:p w14:paraId="1F0B5899" w14:textId="70843A99" w:rsidR="00990F07" w:rsidRPr="00D95D46" w:rsidRDefault="00990F07">
      <w:pPr>
        <w:pStyle w:val="FootnoteText"/>
        <w:rPr>
          <w:sz w:val="16"/>
          <w:szCs w:val="16"/>
        </w:rPr>
      </w:pPr>
      <w:r w:rsidRPr="00D95D46">
        <w:rPr>
          <w:rStyle w:val="FootnoteReference"/>
          <w:sz w:val="16"/>
          <w:szCs w:val="16"/>
        </w:rPr>
        <w:footnoteRef/>
      </w:r>
      <w:r w:rsidRPr="00D95D46">
        <w:rPr>
          <w:sz w:val="16"/>
          <w:szCs w:val="16"/>
        </w:rPr>
        <w:t xml:space="preserve"> This problem set was prepared by Richard Haskell, PhD, Assistant Professor of Finance, Gore School of Business, Westminster College, Salt Lake City, Utah, </w:t>
      </w:r>
      <w:proofErr w:type="gramStart"/>
      <w:r>
        <w:rPr>
          <w:sz w:val="16"/>
          <w:szCs w:val="16"/>
        </w:rPr>
        <w:t>April</w:t>
      </w:r>
      <w:proofErr w:type="gramEnd"/>
      <w:r>
        <w:rPr>
          <w:sz w:val="16"/>
          <w:szCs w:val="16"/>
        </w:rPr>
        <w:t xml:space="preserve"> 2017</w:t>
      </w:r>
      <w:r w:rsidRPr="00D95D46">
        <w:rPr>
          <w:sz w:val="16"/>
          <w:szCs w:val="16"/>
        </w:rPr>
        <w:t xml:space="preserve">.  </w:t>
      </w:r>
      <w:hyperlink r:id="rId1" w:history="1">
        <w:r w:rsidRPr="00D95D46">
          <w:rPr>
            <w:rStyle w:val="Hyperlink"/>
            <w:sz w:val="16"/>
            <w:szCs w:val="16"/>
          </w:rPr>
          <w:t>rhaskell@westminstercollege.edu</w:t>
        </w:r>
      </w:hyperlink>
    </w:p>
  </w:footnote>
  <w:footnote w:id="3">
    <w:p w14:paraId="1152A234" w14:textId="77777777" w:rsidR="00990F07" w:rsidRPr="00D95D46" w:rsidRDefault="00990F07">
      <w:pPr>
        <w:pStyle w:val="FootnoteText"/>
        <w:rPr>
          <w:sz w:val="16"/>
          <w:szCs w:val="16"/>
        </w:rPr>
      </w:pPr>
      <w:r w:rsidRPr="00D95D46">
        <w:rPr>
          <w:rStyle w:val="FootnoteReference"/>
          <w:sz w:val="16"/>
          <w:szCs w:val="16"/>
        </w:rPr>
        <w:footnoteRef/>
      </w:r>
      <w:r w:rsidRPr="00D95D46">
        <w:rPr>
          <w:sz w:val="16"/>
          <w:szCs w:val="16"/>
        </w:rPr>
        <w:t xml:space="preserve"> The Farm Hill Group is a fictional firm and is included for illustrative purposes only.  There is no express or implied association between The Farm Hill Group and Richard Haskell and/or Westminster College.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C3A22"/>
    <w:multiLevelType w:val="hybridMultilevel"/>
    <w:tmpl w:val="C21C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95D46"/>
    <w:rsid w:val="00020A60"/>
    <w:rsid w:val="00055725"/>
    <w:rsid w:val="000943D3"/>
    <w:rsid w:val="000A7182"/>
    <w:rsid w:val="000D4C61"/>
    <w:rsid w:val="00150A24"/>
    <w:rsid w:val="00167221"/>
    <w:rsid w:val="00180627"/>
    <w:rsid w:val="00183B21"/>
    <w:rsid w:val="001911E5"/>
    <w:rsid w:val="001B62E9"/>
    <w:rsid w:val="001E1E69"/>
    <w:rsid w:val="00203259"/>
    <w:rsid w:val="002264FA"/>
    <w:rsid w:val="00264B99"/>
    <w:rsid w:val="002804C0"/>
    <w:rsid w:val="00295108"/>
    <w:rsid w:val="002B364C"/>
    <w:rsid w:val="002D2D98"/>
    <w:rsid w:val="002F10C4"/>
    <w:rsid w:val="00324634"/>
    <w:rsid w:val="00336E86"/>
    <w:rsid w:val="003760AD"/>
    <w:rsid w:val="00377CD5"/>
    <w:rsid w:val="00391EC2"/>
    <w:rsid w:val="003A037C"/>
    <w:rsid w:val="003E7CB6"/>
    <w:rsid w:val="003F1A1D"/>
    <w:rsid w:val="00441815"/>
    <w:rsid w:val="0049089A"/>
    <w:rsid w:val="004A4E2A"/>
    <w:rsid w:val="004B1EE4"/>
    <w:rsid w:val="004B3CCF"/>
    <w:rsid w:val="004C32D9"/>
    <w:rsid w:val="004E25D4"/>
    <w:rsid w:val="00503C3B"/>
    <w:rsid w:val="00513CBC"/>
    <w:rsid w:val="00533C1C"/>
    <w:rsid w:val="0053531C"/>
    <w:rsid w:val="00574922"/>
    <w:rsid w:val="005774BC"/>
    <w:rsid w:val="00584C1C"/>
    <w:rsid w:val="00593EE2"/>
    <w:rsid w:val="005A4C77"/>
    <w:rsid w:val="005D01E3"/>
    <w:rsid w:val="005D2C1B"/>
    <w:rsid w:val="005E28B0"/>
    <w:rsid w:val="005F52DA"/>
    <w:rsid w:val="006058A9"/>
    <w:rsid w:val="00606884"/>
    <w:rsid w:val="00621B28"/>
    <w:rsid w:val="006459C8"/>
    <w:rsid w:val="006659F1"/>
    <w:rsid w:val="0067362C"/>
    <w:rsid w:val="00686E87"/>
    <w:rsid w:val="00691C04"/>
    <w:rsid w:val="006A36BD"/>
    <w:rsid w:val="006A7AD5"/>
    <w:rsid w:val="006E145F"/>
    <w:rsid w:val="006F2EDF"/>
    <w:rsid w:val="007072C5"/>
    <w:rsid w:val="00711675"/>
    <w:rsid w:val="00721427"/>
    <w:rsid w:val="00732493"/>
    <w:rsid w:val="007477DB"/>
    <w:rsid w:val="00793FDD"/>
    <w:rsid w:val="007A2745"/>
    <w:rsid w:val="007A3697"/>
    <w:rsid w:val="007A6D20"/>
    <w:rsid w:val="007C59B2"/>
    <w:rsid w:val="007E1F6A"/>
    <w:rsid w:val="007F6A87"/>
    <w:rsid w:val="0081603B"/>
    <w:rsid w:val="008525CB"/>
    <w:rsid w:val="00856284"/>
    <w:rsid w:val="008740C8"/>
    <w:rsid w:val="008A0ECF"/>
    <w:rsid w:val="008C7137"/>
    <w:rsid w:val="008F72E7"/>
    <w:rsid w:val="009433FD"/>
    <w:rsid w:val="00950FC5"/>
    <w:rsid w:val="0096315C"/>
    <w:rsid w:val="00975B2D"/>
    <w:rsid w:val="009800D2"/>
    <w:rsid w:val="00990F07"/>
    <w:rsid w:val="009B4A6A"/>
    <w:rsid w:val="009E171E"/>
    <w:rsid w:val="00A02BDE"/>
    <w:rsid w:val="00A4143D"/>
    <w:rsid w:val="00AA0786"/>
    <w:rsid w:val="00AA0CBE"/>
    <w:rsid w:val="00AB4F30"/>
    <w:rsid w:val="00AF0C11"/>
    <w:rsid w:val="00B27900"/>
    <w:rsid w:val="00B55D92"/>
    <w:rsid w:val="00B81329"/>
    <w:rsid w:val="00B97EBB"/>
    <w:rsid w:val="00BB313A"/>
    <w:rsid w:val="00BD7EA0"/>
    <w:rsid w:val="00C05E35"/>
    <w:rsid w:val="00C065E2"/>
    <w:rsid w:val="00C557DD"/>
    <w:rsid w:val="00C6549E"/>
    <w:rsid w:val="00C93610"/>
    <w:rsid w:val="00CC3B4F"/>
    <w:rsid w:val="00D0395F"/>
    <w:rsid w:val="00D4169E"/>
    <w:rsid w:val="00D47340"/>
    <w:rsid w:val="00D84E75"/>
    <w:rsid w:val="00D8547C"/>
    <w:rsid w:val="00D95D46"/>
    <w:rsid w:val="00DF0657"/>
    <w:rsid w:val="00DF0A72"/>
    <w:rsid w:val="00E03A80"/>
    <w:rsid w:val="00E055E1"/>
    <w:rsid w:val="00E13198"/>
    <w:rsid w:val="00E25B84"/>
    <w:rsid w:val="00E35223"/>
    <w:rsid w:val="00E65611"/>
    <w:rsid w:val="00E65966"/>
    <w:rsid w:val="00EB51E5"/>
    <w:rsid w:val="00EC3F76"/>
    <w:rsid w:val="00EC664C"/>
    <w:rsid w:val="00EF3AF3"/>
    <w:rsid w:val="00F00BA0"/>
    <w:rsid w:val="00F24A77"/>
    <w:rsid w:val="00F3307F"/>
    <w:rsid w:val="00F334B7"/>
    <w:rsid w:val="00F453A2"/>
    <w:rsid w:val="00F54A89"/>
    <w:rsid w:val="00F66854"/>
    <w:rsid w:val="00F95949"/>
    <w:rsid w:val="00FC49FD"/>
    <w:rsid w:val="00FD1450"/>
    <w:rsid w:val="00FD756A"/>
    <w:rsid w:val="00FF4648"/>
    <w:rsid w:val="00FF6291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C493"/>
  <w15:chartTrackingRefBased/>
  <w15:docId w15:val="{F5615B79-473E-499E-9537-2246C50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5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D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5D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40C8"/>
    <w:rPr>
      <w:color w:val="954F72"/>
      <w:u w:val="single"/>
    </w:rPr>
  </w:style>
  <w:style w:type="paragraph" w:customStyle="1" w:styleId="xl65">
    <w:name w:val="xl65"/>
    <w:basedOn w:val="Normal"/>
    <w:rsid w:val="00874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8740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2">
    <w:name w:val="xl72"/>
    <w:basedOn w:val="Normal"/>
    <w:rsid w:val="008740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4">
    <w:name w:val="xl74"/>
    <w:basedOn w:val="Normal"/>
    <w:rsid w:val="008740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5">
    <w:name w:val="xl75"/>
    <w:basedOn w:val="Normal"/>
    <w:rsid w:val="008740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6">
    <w:name w:val="xl76"/>
    <w:basedOn w:val="Normal"/>
    <w:rsid w:val="008740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79">
    <w:name w:val="xl79"/>
    <w:basedOn w:val="Normal"/>
    <w:rsid w:val="008740C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740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81">
    <w:name w:val="xl81"/>
    <w:basedOn w:val="Normal"/>
    <w:rsid w:val="008740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82">
    <w:name w:val="xl82"/>
    <w:basedOn w:val="Normal"/>
    <w:rsid w:val="008740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83">
    <w:name w:val="xl83"/>
    <w:basedOn w:val="Normal"/>
    <w:rsid w:val="008740C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xl84">
    <w:name w:val="xl84"/>
    <w:basedOn w:val="Normal"/>
    <w:rsid w:val="00874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haskell@westminst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72C6-3B20-4D33-863A-108DA9B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17</cp:revision>
  <cp:lastPrinted>2016-11-14T16:13:00Z</cp:lastPrinted>
  <dcterms:created xsi:type="dcterms:W3CDTF">2016-11-11T18:34:00Z</dcterms:created>
  <dcterms:modified xsi:type="dcterms:W3CDTF">2017-04-13T15:10:00Z</dcterms:modified>
</cp:coreProperties>
</file>